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napToGrid w:val="0"/>
        <w:spacing w:line="480" w:lineRule="exact" w:after="90"/>
        <w:pStyle w:val="Title"/>
        <w:keepNext/>
      </w:pPr>
      <w:r>
        <w:rPr>
          <w:rFonts w:ascii="Noto Sans CJK SC" w:hAnsi="Noto Sans CJK SC" w:eastAsia="Noto Sans CJK SC" w:cs="Noto Sans CJK SC"/>
          <w:b/>
          <w:color w:val="000000"/>
          <w:sz w:val="40"/>
        </w:rPr>
        <w:t xml:space="preserve">USHC智能合约技术验证报告</w:t>
      </w:r>
    </w:p>
    <w:p>
      <w:pPr>
        <w:jc w:val="center"/>
        <w:snapToGrid w:val="0"/>
        <w:spacing w:line="300" w:lineRule="exact" w:after="90"/>
      </w:pPr>
      <w:r>
        <w:rPr>
          <w:rFonts w:ascii="Noto Sans CJK SC" w:hAnsi="Noto Sans CJK SC" w:eastAsia="Noto Sans CJK SC" w:cs="Noto Sans CJK SC"/>
          <w:color w:val="5A5A5A"/>
          <w:sz w:val="22"/>
        </w:rPr>
        <w:t xml:space="preserve">供交易所上市尽职调查提交使用 · 基于源代码的初步验证</w:t>
      </w:r>
    </w:p>
    <w:p>
      <w:pPr>
        <w:snapToGrid w:val="0"/>
      </w:pPr>
    </w:p>
    <w:tbl>
      <w:tblPr>
        <w:tblW w:type="auto" w:w="0"/>
        <w:jc w:val="center"/>
        <w:tblLayout w:type="fixed"/>
        <w:tblLook w:firstColumn="1" w:firstRow="1" w:lastColumn="0" w:lastRow="0" w:noHBand="0" w:noVBand="1" w:val="04A0"/>
      </w:tblPr>
      <w:tblGrid>
        <w:gridCol w:w="2551"/>
        <w:gridCol w:w="6803"/>
      </w:tblGrid>
      <w:tr>
        <w:tc>
          <w:tcPr>
            <w:tcW w:type="dxa" w:w="4986"/>
            <w:shd w:fill="D9EAF7"/>
            <w:vAlign w:val="center"/>
            <w:tcMar>
              <w:top w:w="120" w:type="dxa"/>
              <w:start w:w="120" w:type="dxa"/>
              <w:bottom w:w="120" w:type="dxa"/>
              <w:end w:w="120" w:type="dxa"/>
            </w:tcMar>
          </w:tcPr>
          <w:p>
            <w:r>
              <w:rPr>
                <w:rFonts w:ascii="Noto Sans CJK SC" w:hAnsi="Noto Sans CJK SC" w:eastAsia="Noto Sans CJK SC" w:cs="Noto Sans CJK SC"/>
                <w:b/>
                <w:sz w:val="19"/>
              </w:rPr>
              <w:t xml:space="preserve">代币</w:t>
            </w:r>
            <w:pPr>
              <w:snapToGrid w:val="0"/>
              <w:spacing w:line="300" w:lineRule="exact" w:after="90"/>
            </w:pPr>
          </w:p>
        </w:tc>
        <w:tc>
          <w:tcPr>
            <w:tcW w:type="dxa" w:w="4986"/>
            <w:vAlign w:val="center"/>
            <w:tcMar>
              <w:top w:w="120" w:type="dxa"/>
              <w:start w:w="120" w:type="dxa"/>
              <w:bottom w:w="120" w:type="dxa"/>
              <w:end w:w="120" w:type="dxa"/>
            </w:tcMar>
          </w:tcPr>
          <w:p>
            <w:r>
              <w:rPr>
                <w:rFonts w:ascii="Noto Sans CJK SC" w:hAnsi="Noto Sans CJK SC" w:eastAsia="Noto Sans CJK SC" w:cs="Noto Sans CJK SC"/>
                <w:sz w:val="19"/>
              </w:rPr>
              <w:t>USHC / USHCToken</w:t>
            </w:r>
            <w:pPr>
              <w:snapToGrid w:val="0"/>
              <w:spacing w:line="300" w:lineRule="exact" w:after="90"/>
            </w:pPr>
          </w:p>
        </w:tc>
        <w:trPr>
          <w:cantSplit/>
          <w:tblHeader/>
        </w:trPr>
      </w:tr>
      <w:tr>
        <w:tc>
          <w:tcPr>
            <w:tcW w:type="dxa" w:w="2551"/>
            <w:shd w:fill="D9EAF7"/>
            <w:vAlign w:val="center"/>
            <w:tcMar>
              <w:top w:w="120" w:type="dxa"/>
              <w:start w:w="120" w:type="dxa"/>
              <w:bottom w:w="120" w:type="dxa"/>
              <w:end w:w="120" w:type="dxa"/>
            </w:tcMar>
          </w:tcPr>
          <w:p>
            <w:r>
              <w:rPr>
                <w:rFonts w:ascii="Noto Sans CJK SC" w:hAnsi="Noto Sans CJK SC" w:eastAsia="Noto Sans CJK SC" w:cs="Noto Sans CJK SC"/>
                <w:b/>
                <w:sz w:val="19"/>
              </w:rPr>
              <w:t xml:space="preserve">网络</w:t>
            </w:r>
            <w:pPr>
              <w:snapToGrid w:val="0"/>
              <w:spacing w:line="300" w:lineRule="exact" w:after="90"/>
            </w:pPr>
          </w:p>
        </w:tc>
        <w:tc>
          <w:tcPr>
            <w:tcW w:type="dxa" w:w="6803"/>
            <w:vAlign w:val="center"/>
            <w:tcMar>
              <w:top w:w="120" w:type="dxa"/>
              <w:start w:w="120" w:type="dxa"/>
              <w:bottom w:w="120" w:type="dxa"/>
              <w:end w:w="120" w:type="dxa"/>
            </w:tcMar>
          </w:tcPr>
          <w:p>
            <w:r>
              <w:rPr>
                <w:rFonts w:ascii="Noto Sans CJK SC" w:hAnsi="Noto Sans CJK SC" w:eastAsia="Noto Sans CJK SC" w:cs="Noto Sans CJK SC"/>
                <w:sz w:val="19"/>
              </w:rPr>
              <w:t>Ethereum</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SC" w:hAnsi="Noto Sans CJK SC" w:eastAsia="Noto Sans CJK SC" w:cs="Noto Sans CJK SC"/>
                <w:b/>
                <w:sz w:val="19"/>
              </w:rPr>
              <w:t xml:space="preserve">标准</w:t>
            </w:r>
            <w:pPr>
              <w:snapToGrid w:val="0"/>
              <w:spacing w:line="300" w:lineRule="exact" w:after="90"/>
            </w:pPr>
          </w:p>
        </w:tc>
        <w:tc>
          <w:tcPr>
            <w:tcW w:type="dxa" w:w="6803"/>
            <w:vAlign w:val="center"/>
            <w:tcMar>
              <w:top w:w="120" w:type="dxa"/>
              <w:start w:w="120" w:type="dxa"/>
              <w:bottom w:w="120" w:type="dxa"/>
              <w:end w:w="120" w:type="dxa"/>
            </w:tcMar>
          </w:tcPr>
          <w:p>
            <w:r>
              <w:rPr>
                <w:rFonts w:ascii="Noto Sans CJK SC" w:hAnsi="Noto Sans CJK SC" w:eastAsia="Noto Sans CJK SC" w:cs="Noto Sans CJK SC"/>
                <w:sz w:val="19"/>
              </w:rPr>
              <w:t>ERC-20</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SC" w:hAnsi="Noto Sans CJK SC" w:eastAsia="Noto Sans CJK SC" w:cs="Noto Sans CJK SC"/>
                <w:b/>
                <w:sz w:val="19"/>
              </w:rPr>
              <w:t xml:space="preserve">官方合约</w:t>
            </w:r>
            <w:pPr>
              <w:snapToGrid w:val="0"/>
              <w:spacing w:line="300" w:lineRule="exact" w:after="90"/>
            </w:pPr>
          </w:p>
        </w:tc>
        <w:tc>
          <w:tcPr>
            <w:tcW w:type="dxa" w:w="6803"/>
            <w:vAlign w:val="center"/>
            <w:tcMar>
              <w:top w:w="120" w:type="dxa"/>
              <w:start w:w="120" w:type="dxa"/>
              <w:bottom w:w="120" w:type="dxa"/>
              <w:end w:w="120" w:type="dxa"/>
            </w:tcMar>
          </w:tcPr>
          <w:p>
            <w:r>
              <w:rPr>
                <w:rFonts w:ascii="Noto Sans CJK SC" w:hAnsi="Noto Sans CJK SC" w:eastAsia="Noto Sans CJK SC" w:cs="Noto Sans CJK SC"/>
                <w:sz w:val="19"/>
              </w:rPr>
              <w:t>0x7176fa45cd326d122b33d97d67a8b55d747411e8</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SC" w:hAnsi="Noto Sans CJK SC" w:eastAsia="Noto Sans CJK SC" w:cs="Noto Sans CJK SC"/>
                <w:b/>
                <w:sz w:val="19"/>
              </w:rPr>
              <w:t xml:space="preserve">编译器</w:t>
            </w:r>
            <w:pPr>
              <w:snapToGrid w:val="0"/>
              <w:spacing w:line="300" w:lineRule="exact" w:after="90"/>
            </w:pPr>
          </w:p>
        </w:tc>
        <w:tc>
          <w:tcPr>
            <w:tcW w:type="dxa" w:w="6803"/>
            <w:vAlign w:val="center"/>
            <w:tcMar>
              <w:top w:w="120" w:type="dxa"/>
              <w:start w:w="120" w:type="dxa"/>
              <w:bottom w:w="120" w:type="dxa"/>
              <w:end w:w="120" w:type="dxa"/>
            </w:tcMar>
          </w:tcPr>
          <w:p>
            <w:r>
              <w:rPr>
                <w:rFonts w:ascii="Noto Sans CJK SC" w:hAnsi="Noto Sans CJK SC" w:eastAsia="Noto Sans CJK SC" w:cs="Noto Sans CJK SC"/>
                <w:sz w:val="19"/>
              </w:rPr>
              <w:t>Solidity ^0.4.24</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SC" w:hAnsi="Noto Sans CJK SC" w:eastAsia="Noto Sans CJK SC" w:cs="Noto Sans CJK SC"/>
                <w:b/>
                <w:sz w:val="19"/>
              </w:rPr>
              <w:t>Decimals</w:t>
            </w:r>
            <w:pPr>
              <w:snapToGrid w:val="0"/>
              <w:spacing w:line="300" w:lineRule="exact" w:after="90"/>
            </w:pPr>
          </w:p>
        </w:tc>
        <w:tc>
          <w:tcPr>
            <w:tcW w:type="dxa" w:w="6803"/>
            <w:vAlign w:val="center"/>
            <w:tcMar>
              <w:top w:w="120" w:type="dxa"/>
              <w:start w:w="120" w:type="dxa"/>
              <w:bottom w:w="120" w:type="dxa"/>
              <w:end w:w="120" w:type="dxa"/>
            </w:tcMar>
          </w:tcPr>
          <w:p>
            <w:r>
              <w:rPr>
                <w:rFonts w:ascii="Noto Sans CJK SC" w:hAnsi="Noto Sans CJK SC" w:eastAsia="Noto Sans CJK SC" w:cs="Noto Sans CJK SC"/>
                <w:sz w:val="19"/>
              </w:rPr>
              <w:t>18</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SC" w:hAnsi="Noto Sans CJK SC" w:eastAsia="Noto Sans CJK SC" w:cs="Noto Sans CJK SC"/>
                <w:b/>
                <w:sz w:val="19"/>
              </w:rPr>
              <w:t xml:space="preserve">目标总发行量</w:t>
            </w:r>
            <w:pPr>
              <w:snapToGrid w:val="0"/>
              <w:spacing w:line="300" w:lineRule="exact" w:after="90"/>
            </w:pPr>
          </w:p>
        </w:tc>
        <w:tc>
          <w:tcPr>
            <w:tcW w:type="dxa" w:w="6803"/>
            <w:vAlign w:val="center"/>
            <w:tcMar>
              <w:top w:w="120" w:type="dxa"/>
              <w:start w:w="120" w:type="dxa"/>
              <w:bottom w:w="120" w:type="dxa"/>
              <w:end w:w="120" w:type="dxa"/>
            </w:tcMar>
          </w:tcPr>
          <w:p>
            <w:r>
              <w:rPr>
                <w:rFonts w:ascii="Noto Sans CJK SC" w:hAnsi="Noto Sans CJK SC" w:eastAsia="Noto Sans CJK SC" w:cs="Noto Sans CJK SC"/>
                <w:sz w:val="19"/>
              </w:rPr>
              <w:t>125,000,000 USHC</w:t>
            </w:r>
            <w:pPr>
              <w:snapToGrid w:val="0"/>
              <w:spacing w:line="300" w:lineRule="exact" w:after="90"/>
            </w:pPr>
          </w:p>
        </w:tc>
        <w:trPr>
          <w:cantSplit/>
        </w:trPr>
      </w:tr>
      <w:tr>
        <w:tc>
          <w:tcPr>
            <w:tcW w:type="dxa" w:w="2551"/>
            <w:shd w:fill="D9EAD3"/>
            <w:tcMar>
              <w:top w:w="120" w:type="dxa"/>
              <w:start w:w="120" w:type="dxa"/>
              <w:bottom w:w="120" w:type="dxa"/>
              <w:end w:w="120" w:type="dxa"/>
            </w:tcMar>
            <w:vAlign w:val="center"/>
          </w:tcPr>
          <w:p>
            <w:r>
              <w:rPr>
                <w:rFonts w:ascii="Noto Sans CJK SC" w:hAnsi="Noto Sans CJK SC" w:eastAsia="Noto Sans CJK SC" w:cs="Noto Sans CJK SC"/>
                <w:b/>
                <w:sz w:val="19"/>
              </w:rPr>
              <w:t xml:space="preserve">核心结论</w:t>
            </w:r>
            <w:pPr>
              <w:snapToGrid w:val="0"/>
              <w:spacing w:line="300" w:lineRule="exact" w:after="90"/>
            </w:pPr>
          </w:p>
        </w:tc>
        <w:tc>
          <w:tcPr>
            <w:tcW w:type="dxa" w:w="6803"/>
            <w:shd w:fill="EAF4E5"/>
            <w:tcMar>
              <w:top w:w="120" w:type="dxa"/>
              <w:start w:w="120" w:type="dxa"/>
              <w:bottom w:w="120" w:type="dxa"/>
              <w:end w:w="120" w:type="dxa"/>
            </w:tcMar>
            <w:vAlign w:val="center"/>
          </w:tcPr>
          <w:p>
            <w:r>
              <w:rPr>
                <w:rFonts w:ascii="Noto Sans CJK SC" w:hAnsi="Noto Sans CJK SC" w:eastAsia="Noto Sans CJK SC" w:cs="Noto Sans CJK SC"/>
                <w:b/>
                <w:sz w:val="19"/>
              </w:rPr>
              <w:t xml:space="preserve">基于所提供的源代码：无追加铸币功能／供应量无法增加，只能通过销毁减少</w:t>
            </w:r>
            <w:pPr>
              <w:snapToGrid w:val="0"/>
              <w:spacing w:line="300" w:lineRule="exact" w:after="90"/>
            </w:pPr>
          </w:p>
        </w:tc>
        <w:trPr>
          <w:cantSplit/>
        </w:trPr>
      </w:tr>
    </w:tbl>
    <w:p>
      <w:pPr>
        <w:snapToGrid w:val="0"/>
      </w:pPr>
    </w:p>
    <w:p>
      <w:pPr>
        <w:pStyle w:val="Heading1"/>
        <w:snapToGrid w:val="0"/>
        <w:spacing w:line="300" w:lineRule="exact" w:after="90"/>
      </w:pPr>
      <w:r>
        <w:rPr>
          <w:rFonts w:ascii="Noto Sans CJK SC" w:hAnsi="Noto Sans CJK SC" w:eastAsia="Noto Sans CJK SC" w:cs="Noto Sans CJK SC"/>
        </w:rPr>
        <w:t xml:space="preserve">1. 验证范围及前提</w:t>
      </w:r>
    </w:p>
    <w:p>
      <w:r>
        <w:rPr>
          <w:rFonts w:ascii="Noto Sans CJK SC" w:hAnsi="Noto Sans CJK SC" w:eastAsia="Noto Sans CJK SC" w:cs="Noto Sans CJK SC"/>
        </w:rPr>
        <w:t xml:space="preserve">本报告呈现对用户提供的Solidity源代码（pragma solidity ^0.4.24）进行静态审查的结果。本文件本身并不证明实际部署在Ethereum主网上的字节码与该源代码一致。提交交易所前，需要完成Etherscan源代码验证或同等的字节码验证。</w:t>
      </w:r>
      <w:pPr>
        <w:snapToGrid w:val="0"/>
        <w:spacing w:line="300" w:lineRule="exact" w:after="90"/>
      </w:pPr>
    </w:p>
    <w:p>
      <w:r>
        <w:rPr>
          <w:rFonts w:ascii="Noto Sans CJK SC" w:hAnsi="Noto Sans CJK SC" w:eastAsia="Noto Sans CJK SC" w:cs="Noto Sans CJK SC"/>
        </w:rPr>
        <w:t xml:space="preserve">总发行量125,000,000 USHC以部署时constructor的initialSupply参数被设为125,000,000为前提。实际部署值必须通过链上的totalSupply()进行最终确认。</w:t>
      </w:r>
      <w:pPr>
        <w:snapToGrid w:val="0"/>
        <w:spacing w:line="300" w:lineRule="exact" w:after="90"/>
      </w:pPr>
    </w:p>
    <w:p>
      <w:pPr>
        <w:pStyle w:val="Heading1"/>
        <w:snapToGrid w:val="0"/>
        <w:spacing w:line="300" w:lineRule="exact" w:after="90"/>
      </w:pPr>
      <w:r>
        <w:rPr>
          <w:rFonts w:ascii="Noto Sans CJK SC" w:hAnsi="Noto Sans CJK SC" w:eastAsia="Noto Sans CJK SC" w:cs="Noto Sans CJK SC"/>
        </w:rPr>
        <w:t xml:space="preserve">2. 是否可以追加铸币（Mint）</w:t>
      </w:r>
    </w:p>
    <w:p>
      <w:r>
        <w:rPr>
          <w:rFonts w:ascii="Noto Sans CJK SC" w:hAnsi="Noto Sans CJK SC" w:eastAsia="Noto Sans CJK SC" w:cs="Noto Sans CJK SC"/>
        </w:rPr>
        <w:t xml:space="preserve">结论：所提供的代码中不存在mint()、_mint()、issue()、createToken()，也不存在同时增加totalSupply_和balances的external／public函数。因此，代码中不存在部署后追加铸造USHC的路径。</w:t>
      </w:r>
      <w:pPr>
        <w:snapToGrid w:val="0"/>
        <w:spacing w:line="300" w:lineRule="exact" w:after="90"/>
      </w:pPr>
    </w:p>
    <w:p>
      <w:pPr>
        <w:pStyle w:val="ListBullet"/>
        <w:snapToGrid w:val="0"/>
        <w:spacing w:line="300" w:lineRule="exact" w:after="90"/>
      </w:pPr>
      <w:r>
        <w:rPr>
          <w:rFonts w:ascii="Noto Sans CJK SC" w:hAnsi="Noto Sans CJK SC" w:eastAsia="Noto Sans CJK SC" w:cs="Noto Sans CJK SC"/>
          <w:sz w:val="20"/>
        </w:rPr>
        <w:t xml:space="preserve">初始供应量在constructor执行时仅创建一次：totalSupply_ = initialSupply × 10^18。</w:t>
      </w:r>
    </w:p>
    <w:p>
      <w:pPr>
        <w:pStyle w:val="ListBullet"/>
        <w:snapToGrid w:val="0"/>
        <w:spacing w:line="300" w:lineRule="exact" w:after="90"/>
      </w:pPr>
      <w:r>
        <w:rPr>
          <w:rFonts w:ascii="Noto Sans CJK SC" w:hAnsi="Noto Sans CJK SC" w:eastAsia="Noto Sans CJK SC" w:cs="Noto Sans CJK SC"/>
          <w:sz w:val="20"/>
        </w:rPr>
        <w:t xml:space="preserve">transfer和transferFrom仅转移现有余额，不会增加总供应量。</w:t>
      </w:r>
    </w:p>
    <w:p>
      <w:pPr>
        <w:pStyle w:val="ListBullet"/>
        <w:snapToGrid w:val="0"/>
        <w:spacing w:line="300" w:lineRule="exact" w:after="90"/>
      </w:pPr>
      <w:r>
        <w:rPr>
          <w:rFonts w:ascii="Noto Sans CJK SC" w:hAnsi="Noto Sans CJK SC" w:eastAsia="Noto Sans CJK SC" w:cs="Noto Sans CJK SC"/>
          <w:sz w:val="20"/>
        </w:rPr>
        <w:t xml:space="preserve">burn同时减少owner的余额和totalSupply_，因此只能减少供应量。</w:t>
      </w:r>
    </w:p>
    <w:p>
      <w:pPr>
        <w:pStyle w:val="ListBullet"/>
        <w:snapToGrid w:val="0"/>
        <w:spacing w:line="300" w:lineRule="exact" w:after="90"/>
      </w:pPr>
      <w:r>
        <w:rPr>
          <w:rFonts w:ascii="Noto Sans CJK SC" w:hAnsi="Noto Sans CJK SC" w:eastAsia="Noto Sans CJK SC" w:cs="Noto Sans CJK SC"/>
          <w:sz w:val="20"/>
        </w:rPr>
        <w:t xml:space="preserve">未发现Proxy、delegatecall、upgradeTo等升级功能，因此也未确认存在部署后将本代码替换为可铸币逻辑的结构。</w:t>
      </w:r>
    </w:p>
    <w:p>
      <w:pPr>
        <w:pStyle w:val="Heading1"/>
        <w:snapToGrid w:val="0"/>
        <w:spacing w:line="300" w:lineRule="exact" w:after="90"/>
      </w:pPr>
      <w:r>
        <w:rPr>
          <w:rFonts w:ascii="Noto Sans CJK SC" w:hAnsi="Noto Sans CJK SC" w:eastAsia="Noto Sans CJK SC" w:cs="Noto Sans CJK SC"/>
        </w:rPr>
        <w:t xml:space="preserve">3. Owner权限及管理员风险</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381"/>
            <w:shd w:fill="D9EAF7"/>
            <w:tcMar>
              <w:top w:w="120" w:type="dxa"/>
              <w:start w:w="120" w:type="dxa"/>
              <w:bottom w:w="120" w:type="dxa"/>
              <w:end w:w="120" w:type="dxa"/>
            </w:tcMar>
          </w:tcPr>
          <w:p>
            <w:r>
              <w:rPr>
                <w:rFonts w:ascii="Noto Sans CJK SC" w:hAnsi="Noto Sans CJK SC" w:eastAsia="Noto Sans CJK SC" w:cs="Noto Sans CJK SC"/>
                <w:b/>
                <w:sz w:val="18"/>
              </w:rPr>
              <w:t xml:space="preserve">功能</w:t>
            </w:r>
            <w:pPr>
              <w:snapToGrid w:val="0"/>
              <w:spacing w:line="300" w:lineRule="exact" w:after="90"/>
            </w:pPr>
          </w:p>
        </w:tc>
        <w:tc>
          <w:tcPr>
            <w:tcW w:type="dxa" w:w="1984"/>
            <w:shd w:fill="D9EAF7"/>
            <w:tcMar>
              <w:top w:w="120" w:type="dxa"/>
              <w:start w:w="120" w:type="dxa"/>
              <w:bottom w:w="120" w:type="dxa"/>
              <w:end w:w="120" w:type="dxa"/>
            </w:tcMar>
          </w:tcPr>
          <w:p>
            <w:r>
              <w:rPr>
                <w:rFonts w:ascii="Noto Sans CJK SC" w:hAnsi="Noto Sans CJK SC" w:eastAsia="Noto Sans CJK SC" w:cs="Noto Sans CJK SC"/>
                <w:b/>
                <w:sz w:val="18"/>
              </w:rPr>
              <w:t xml:space="preserve">权限</w:t>
            </w:r>
            <w:pPr>
              <w:snapToGrid w:val="0"/>
              <w:spacing w:line="300" w:lineRule="exact" w:after="90"/>
            </w:pPr>
          </w:p>
        </w:tc>
        <w:tc>
          <w:tcPr>
            <w:tcW w:type="dxa" w:w="1984"/>
            <w:shd w:fill="D9EAF7"/>
            <w:tcMar>
              <w:top w:w="120" w:type="dxa"/>
              <w:start w:w="120" w:type="dxa"/>
              <w:bottom w:w="120" w:type="dxa"/>
              <w:end w:w="120" w:type="dxa"/>
            </w:tcMar>
          </w:tcPr>
          <w:p>
            <w:r>
              <w:rPr>
                <w:rFonts w:ascii="Noto Sans CJK SC" w:hAnsi="Noto Sans CJK SC" w:eastAsia="Noto Sans CJK SC" w:cs="Noto Sans CJK SC"/>
                <w:b/>
                <w:sz w:val="18"/>
              </w:rPr>
              <w:t xml:space="preserve">对供应量的影响</w:t>
            </w:r>
            <w:pPr>
              <w:snapToGrid w:val="0"/>
              <w:spacing w:line="300" w:lineRule="exact" w:after="90"/>
            </w:pPr>
          </w:p>
        </w:tc>
        <w:tc>
          <w:tcPr>
            <w:tcW w:type="dxa" w:w="3118"/>
            <w:shd w:fill="D9EAF7"/>
            <w:tcMar>
              <w:top w:w="120" w:type="dxa"/>
              <w:start w:w="120" w:type="dxa"/>
              <w:bottom w:w="120" w:type="dxa"/>
              <w:end w:w="120" w:type="dxa"/>
            </w:tcMar>
          </w:tcPr>
          <w:p>
            <w:r>
              <w:rPr>
                <w:rFonts w:ascii="Noto Sans CJK SC" w:hAnsi="Noto Sans CJK SC" w:eastAsia="Noto Sans CJK SC" w:cs="Noto Sans CJK SC"/>
                <w:b/>
                <w:sz w:val="18"/>
              </w:rPr>
              <w:t xml:space="preserve">评估</w:t>
            </w:r>
            <w:pPr>
              <w:snapToGrid w:val="0"/>
              <w:spacing w:line="300" w:lineRule="exact" w:after="90"/>
            </w:pPr>
          </w:p>
        </w:tc>
        <w:trPr>
          <w:cantSplit/>
          <w:tblHeader/>
        </w:trPr>
      </w:tr>
      <w:tr>
        <w:tc>
          <w:tcPr>
            <w:tcW w:type="dxa" w:w="2381"/>
            <w:tcMar>
              <w:top w:w="120" w:type="dxa"/>
              <w:start w:w="120" w:type="dxa"/>
              <w:bottom w:w="120" w:type="dxa"/>
              <w:end w:w="120" w:type="dxa"/>
            </w:tcMar>
          </w:tcPr>
          <w:p>
            <w:r>
              <w:rPr>
                <w:rFonts w:ascii="Noto Sans CJK SC" w:hAnsi="Noto Sans CJK SC" w:eastAsia="Noto Sans CJK SC" w:cs="Noto Sans CJK SC"/>
                <w:sz w:val="17"/>
              </w:rPr>
              <w:t>transfer / transferFrom</w:t>
            </w:r>
            <w:pPr>
              <w:snapToGrid w:val="0"/>
              <w:spacing w:line="300" w:lineRule="exact" w:after="90"/>
            </w:pPr>
          </w:p>
        </w:tc>
        <w:tc>
          <w:tcPr>
            <w:tcW w:type="dxa" w:w="1984"/>
            <w:tcMar>
              <w:top w:w="120" w:type="dxa"/>
              <w:start w:w="120" w:type="dxa"/>
              <w:bottom w:w="120" w:type="dxa"/>
              <w:end w:w="120" w:type="dxa"/>
            </w:tcMar>
          </w:tcPr>
          <w:p>
            <w:r>
              <w:rPr>
                <w:rFonts w:ascii="Noto Sans CJK SC" w:hAnsi="Noto Sans CJK SC" w:eastAsia="Noto Sans CJK SC" w:cs="Noto Sans CJK SC"/>
                <w:sz w:val="17"/>
              </w:rPr>
              <w:t xml:space="preserve">所有持有人／已获授权的spender</w:t>
            </w:r>
            <w:pPr>
              <w:snapToGrid w:val="0"/>
              <w:spacing w:line="300" w:lineRule="exact" w:after="90"/>
            </w:pPr>
          </w:p>
        </w:tc>
        <w:tc>
          <w:tcPr>
            <w:tcW w:type="dxa" w:w="1984"/>
            <w:tcMar>
              <w:top w:w="120" w:type="dxa"/>
              <w:start w:w="120" w:type="dxa"/>
              <w:bottom w:w="120" w:type="dxa"/>
              <w:end w:w="120" w:type="dxa"/>
            </w:tcMar>
          </w:tcPr>
          <w:p>
            <w:r>
              <w:rPr>
                <w:rFonts w:ascii="Noto Sans CJK SC" w:hAnsi="Noto Sans CJK SC" w:eastAsia="Noto Sans CJK SC" w:cs="Noto Sans CJK SC"/>
                <w:sz w:val="17"/>
              </w:rPr>
              <w:t xml:space="preserve">无变化</w:t>
            </w:r>
            <w:pPr>
              <w:snapToGrid w:val="0"/>
              <w:spacing w:line="300" w:lineRule="exact" w:after="90"/>
            </w:pPr>
          </w:p>
        </w:tc>
        <w:tc>
          <w:tcPr>
            <w:tcW w:type="dxa" w:w="3118"/>
            <w:tcMar>
              <w:top w:w="120" w:type="dxa"/>
              <w:start w:w="120" w:type="dxa"/>
              <w:bottom w:w="120" w:type="dxa"/>
              <w:end w:w="120" w:type="dxa"/>
            </w:tcMar>
          </w:tcPr>
          <w:p>
            <w:r>
              <w:rPr>
                <w:rFonts w:ascii="Noto Sans CJK SC" w:hAnsi="Noto Sans CJK SC" w:eastAsia="Noto Sans CJK SC" w:cs="Noto Sans CJK SC"/>
                <w:sz w:val="17"/>
              </w:rPr>
              <w:t xml:space="preserve">常规ERC-20功能</w:t>
            </w:r>
            <w:pPr>
              <w:snapToGrid w:val="0"/>
              <w:spacing w:line="300" w:lineRule="exact" w:after="90"/>
            </w:pPr>
          </w:p>
        </w:tc>
        <w:trPr>
          <w:cantSplit/>
        </w:trPr>
      </w:tr>
      <w:tr>
        <w:tc>
          <w:tcPr>
            <w:tcW w:type="dxa" w:w="2381"/>
            <w:tcMar>
              <w:top w:w="120" w:type="dxa"/>
              <w:start w:w="120" w:type="dxa"/>
              <w:bottom w:w="120" w:type="dxa"/>
              <w:end w:w="120" w:type="dxa"/>
            </w:tcMar>
          </w:tcPr>
          <w:p>
            <w:r>
              <w:rPr>
                <w:rFonts w:ascii="Noto Sans CJK SC" w:hAnsi="Noto Sans CJK SC" w:eastAsia="Noto Sans CJK SC" w:cs="Noto Sans CJK SC"/>
                <w:sz w:val="17"/>
              </w:rPr>
              <w:t>burn</w:t>
            </w:r>
            <w:pPr>
              <w:snapToGrid w:val="0"/>
              <w:spacing w:line="300" w:lineRule="exact" w:after="90"/>
            </w:pPr>
          </w:p>
        </w:tc>
        <w:tc>
          <w:tcPr>
            <w:tcW w:type="dxa" w:w="1984"/>
            <w:tcMar>
              <w:top w:w="120" w:type="dxa"/>
              <w:start w:w="120" w:type="dxa"/>
              <w:bottom w:w="120" w:type="dxa"/>
              <w:end w:w="120" w:type="dxa"/>
            </w:tcMar>
          </w:tcPr>
          <w:p>
            <w:r>
              <w:rPr>
                <w:rFonts w:ascii="Noto Sans CJK SC" w:hAnsi="Noto Sans CJK SC" w:eastAsia="Noto Sans CJK SC" w:cs="Noto Sans CJK SC"/>
                <w:sz w:val="17"/>
              </w:rPr>
              <w:t xml:space="preserve">仅owner可执行</w:t>
            </w:r>
            <w:pPr>
              <w:snapToGrid w:val="0"/>
              <w:spacing w:line="300" w:lineRule="exact" w:after="90"/>
            </w:pPr>
          </w:p>
        </w:tc>
        <w:tc>
          <w:tcPr>
            <w:tcW w:type="dxa" w:w="1984"/>
            <w:tcMar>
              <w:top w:w="120" w:type="dxa"/>
              <w:start w:w="120" w:type="dxa"/>
              <w:bottom w:w="120" w:type="dxa"/>
              <w:end w:w="120" w:type="dxa"/>
            </w:tcMar>
          </w:tcPr>
          <w:p>
            <w:r>
              <w:rPr>
                <w:rFonts w:ascii="Noto Sans CJK SC" w:hAnsi="Noto Sans CJK SC" w:eastAsia="Noto Sans CJK SC" w:cs="Noto Sans CJK SC"/>
                <w:sz w:val="17"/>
              </w:rPr>
              <w:t xml:space="preserve">减少</w:t>
            </w:r>
            <w:pPr>
              <w:snapToGrid w:val="0"/>
              <w:spacing w:line="300" w:lineRule="exact" w:after="90"/>
            </w:pPr>
          </w:p>
        </w:tc>
        <w:tc>
          <w:tcPr>
            <w:tcW w:type="dxa" w:w="3118"/>
            <w:tcMar>
              <w:top w:w="120" w:type="dxa"/>
              <w:start w:w="120" w:type="dxa"/>
              <w:bottom w:w="120" w:type="dxa"/>
              <w:end w:w="120" w:type="dxa"/>
            </w:tcMar>
          </w:tcPr>
          <w:p>
            <w:r>
              <w:rPr>
                <w:rFonts w:ascii="Noto Sans CJK SC" w:hAnsi="Noto Sans CJK SC" w:eastAsia="Noto Sans CJK SC" w:cs="Noto Sans CJK SC"/>
                <w:sz w:val="17"/>
              </w:rPr>
              <w:t xml:space="preserve">与追加铸币无关</w:t>
            </w:r>
            <w:pPr>
              <w:snapToGrid w:val="0"/>
              <w:spacing w:line="300" w:lineRule="exact" w:after="90"/>
            </w:pPr>
          </w:p>
        </w:tc>
        <w:trPr>
          <w:cantSplit/>
        </w:trPr>
      </w:tr>
      <w:tr>
        <w:tc>
          <w:tcPr>
            <w:tcW w:type="dxa" w:w="2381"/>
            <w:tcMar>
              <w:top w:w="120" w:type="dxa"/>
              <w:start w:w="120" w:type="dxa"/>
              <w:bottom w:w="120" w:type="dxa"/>
              <w:end w:w="120" w:type="dxa"/>
            </w:tcMar>
          </w:tcPr>
          <w:p>
            <w:r>
              <w:rPr>
                <w:rFonts w:ascii="Noto Sans CJK SC" w:hAnsi="Noto Sans CJK SC" w:eastAsia="Noto Sans CJK SC" w:cs="Noto Sans CJK SC"/>
                <w:sz w:val="17"/>
              </w:rPr>
              <w:t>transferOwnership</w:t>
            </w:r>
            <w:pPr>
              <w:snapToGrid w:val="0"/>
              <w:spacing w:line="300" w:lineRule="exact" w:after="90"/>
            </w:pPr>
          </w:p>
        </w:tc>
        <w:tc>
          <w:tcPr>
            <w:tcW w:type="dxa" w:w="1984"/>
            <w:tcMar>
              <w:top w:w="120" w:type="dxa"/>
              <w:start w:w="120" w:type="dxa"/>
              <w:bottom w:w="120" w:type="dxa"/>
              <w:end w:w="120" w:type="dxa"/>
            </w:tcMar>
          </w:tcPr>
          <w:p>
            <w:r>
              <w:rPr>
                <w:rFonts w:ascii="Noto Sans CJK SC" w:hAnsi="Noto Sans CJK SC" w:eastAsia="Noto Sans CJK SC" w:cs="Noto Sans CJK SC"/>
                <w:sz w:val="17"/>
              </w:rPr>
              <w:t xml:space="preserve">仅owner可执行</w:t>
            </w:r>
            <w:pPr>
              <w:snapToGrid w:val="0"/>
              <w:spacing w:line="300" w:lineRule="exact" w:after="90"/>
            </w:pPr>
          </w:p>
        </w:tc>
        <w:tc>
          <w:tcPr>
            <w:tcW w:type="dxa" w:w="1984"/>
            <w:tcMar>
              <w:top w:w="120" w:type="dxa"/>
              <w:start w:w="120" w:type="dxa"/>
              <w:bottom w:w="120" w:type="dxa"/>
              <w:end w:w="120" w:type="dxa"/>
            </w:tcMar>
          </w:tcPr>
          <w:p>
            <w:r>
              <w:rPr>
                <w:rFonts w:ascii="Noto Sans CJK SC" w:hAnsi="Noto Sans CJK SC" w:eastAsia="Noto Sans CJK SC" w:cs="Noto Sans CJK SC"/>
                <w:sz w:val="17"/>
              </w:rPr>
              <w:t xml:space="preserve">无变化</w:t>
            </w:r>
            <w:pPr>
              <w:snapToGrid w:val="0"/>
              <w:spacing w:line="300" w:lineRule="exact" w:after="90"/>
            </w:pPr>
          </w:p>
        </w:tc>
        <w:tc>
          <w:tcPr>
            <w:tcW w:type="dxa" w:w="3118"/>
            <w:tcMar>
              <w:top w:w="120" w:type="dxa"/>
              <w:start w:w="120" w:type="dxa"/>
              <w:bottom w:w="120" w:type="dxa"/>
              <w:end w:w="120" w:type="dxa"/>
            </w:tcMar>
          </w:tcPr>
          <w:p>
            <w:r>
              <w:rPr>
                <w:rFonts w:ascii="Noto Sans CJK SC" w:hAnsi="Noto Sans CJK SC" w:eastAsia="Noto Sans CJK SC" w:cs="Noto Sans CJK SC"/>
                <w:sz w:val="17"/>
              </w:rPr>
              <w:t xml:space="preserve">可转移管理权限</w:t>
            </w:r>
            <w:pPr>
              <w:snapToGrid w:val="0"/>
              <w:spacing w:line="300" w:lineRule="exact" w:after="90"/>
            </w:pPr>
          </w:p>
        </w:tc>
        <w:trPr>
          <w:cantSplit/>
        </w:trPr>
      </w:tr>
      <w:tr>
        <w:tc>
          <w:tcPr>
            <w:tcW w:type="dxa" w:w="2381"/>
            <w:tcMar>
              <w:top w:w="120" w:type="dxa"/>
              <w:start w:w="120" w:type="dxa"/>
              <w:bottom w:w="120" w:type="dxa"/>
              <w:end w:w="120" w:type="dxa"/>
            </w:tcMar>
          </w:tcPr>
          <w:p>
            <w:r>
              <w:rPr>
                <w:rFonts w:ascii="Noto Sans CJK SC" w:hAnsi="Noto Sans CJK SC" w:eastAsia="Noto Sans CJK SC" w:cs="Noto Sans CJK SC"/>
                <w:sz w:val="17"/>
              </w:rPr>
              <w:t>Mint</w:t>
            </w:r>
            <w:pPr>
              <w:snapToGrid w:val="0"/>
              <w:spacing w:line="300" w:lineRule="exact" w:after="90"/>
            </w:pPr>
          </w:p>
        </w:tc>
        <w:tc>
          <w:tcPr>
            <w:tcW w:type="dxa" w:w="1984"/>
            <w:tcMar>
              <w:top w:w="120" w:type="dxa"/>
              <w:start w:w="120" w:type="dxa"/>
              <w:bottom w:w="120" w:type="dxa"/>
              <w:end w:w="120" w:type="dxa"/>
            </w:tcMar>
          </w:tcPr>
          <w:p>
            <w:r>
              <w:rPr>
                <w:rFonts w:ascii="Noto Sans CJK SC" w:hAnsi="Noto Sans CJK SC" w:eastAsia="Noto Sans CJK SC" w:cs="Noto Sans CJK SC"/>
                <w:sz w:val="17"/>
              </w:rPr>
              <w:t xml:space="preserve">无此函数</w:t>
            </w:r>
            <w:pPr>
              <w:snapToGrid w:val="0"/>
              <w:spacing w:line="300" w:lineRule="exact" w:after="90"/>
            </w:pPr>
          </w:p>
        </w:tc>
        <w:tc>
          <w:tcPr>
            <w:tcW w:type="dxa" w:w="1984"/>
            <w:tcMar>
              <w:top w:w="120" w:type="dxa"/>
              <w:start w:w="120" w:type="dxa"/>
              <w:bottom w:w="120" w:type="dxa"/>
              <w:end w:w="120" w:type="dxa"/>
            </w:tcMar>
          </w:tcPr>
          <w:p>
            <w:r>
              <w:rPr>
                <w:rFonts w:ascii="Noto Sans CJK SC" w:hAnsi="Noto Sans CJK SC" w:eastAsia="Noto Sans CJK SC" w:cs="Noto Sans CJK SC"/>
                <w:sz w:val="17"/>
              </w:rPr>
              <w:t xml:space="preserve">无法增加</w:t>
            </w:r>
            <w:pPr>
              <w:snapToGrid w:val="0"/>
              <w:spacing w:line="300" w:lineRule="exact" w:after="90"/>
            </w:pPr>
          </w:p>
        </w:tc>
        <w:tc>
          <w:tcPr>
            <w:tcW w:type="dxa" w:w="3118"/>
            <w:tcMar>
              <w:top w:w="120" w:type="dxa"/>
              <w:start w:w="120" w:type="dxa"/>
              <w:bottom w:w="120" w:type="dxa"/>
              <w:end w:w="120" w:type="dxa"/>
            </w:tcMar>
          </w:tcPr>
          <w:p>
            <w:r>
              <w:rPr>
                <w:rFonts w:ascii="Noto Sans CJK SC" w:hAnsi="Noto Sans CJK SC" w:eastAsia="Noto Sans CJK SC" w:cs="Noto Sans CJK SC"/>
                <w:sz w:val="17"/>
              </w:rPr>
              <w:t>Non-Mintable</w:t>
            </w:r>
            <w:pPr>
              <w:snapToGrid w:val="0"/>
              <w:spacing w:line="300" w:lineRule="exact" w:after="90"/>
            </w:pPr>
          </w:p>
        </w:tc>
        <w:trPr>
          <w:cantSplit/>
        </w:trPr>
      </w:tr>
    </w:tbl>
    <w:p>
      <w:pPr>
        <w:snapToGrid w:val="0"/>
      </w:pPr>
    </w:p>
    <w:p>
      <w:r>
        <w:rPr>
          <w:rFonts w:ascii="Noto Sans CJK SC" w:hAnsi="Noto Sans CJK SC" w:eastAsia="Noto Sans CJK SC" w:cs="Noto Sans CJK SC"/>
        </w:rPr>
        <w:t xml:space="preserve">注意：transferOwnership(address newOwner)未检查newOwner != address(0)。因此，如果将owner转移至0x000…000地址，onlyOwner功能实际上将永久无法执行。此操作无法撤销，只应在完成交易所尽职调查并确定运营政策后再予以考虑。</w:t>
      </w:r>
      <w:pPr>
        <w:snapToGrid w:val="0"/>
        <w:spacing w:line="300" w:lineRule="exact" w:after="90"/>
      </w:pPr>
    </w:p>
    <w:p>
      <w:pPr>
        <w:pStyle w:val="Heading1"/>
        <w:snapToGrid w:val="0"/>
        <w:spacing w:line="300" w:lineRule="exact" w:after="90"/>
      </w:pPr>
      <w:r>
        <w:rPr>
          <w:rFonts w:ascii="Noto Sans CJK SC" w:hAnsi="Noto Sans CJK SC" w:eastAsia="Noto Sans CJK SC" w:cs="Noto Sans CJK SC"/>
        </w:rPr>
        <w:t xml:space="preserve">4. 上市前建议采取的技术措施</w:t>
      </w:r>
    </w:p>
    <w:tbl>
      <w:tblPr>
        <w:tblStyle w:val="TableGrid"/>
        <w:tblW w:type="auto" w:w="0"/>
        <w:jc w:val="center"/>
        <w:tblLook w:firstColumn="1" w:firstRow="1" w:lastColumn="0" w:lastRow="0" w:noHBand="0" w:noVBand="1" w:val="04A0"/>
      </w:tblPr>
      <w:tblGrid>
        <w:gridCol w:w="3324"/>
        <w:gridCol w:w="3324"/>
        <w:gridCol w:w="3324"/>
      </w:tblGrid>
      <w:tr>
        <w:tc>
          <w:tcPr>
            <w:tcW w:type="dxa" w:w="1134"/>
            <w:shd w:fill="D9EAF7"/>
            <w:tcMar>
              <w:top w:w="120" w:type="dxa"/>
              <w:start w:w="120" w:type="dxa"/>
              <w:bottom w:w="120" w:type="dxa"/>
              <w:end w:w="120" w:type="dxa"/>
            </w:tcMar>
          </w:tcPr>
          <w:p>
            <w:r>
              <w:rPr>
                <w:rFonts w:ascii="Noto Sans CJK SC" w:hAnsi="Noto Sans CJK SC" w:eastAsia="Noto Sans CJK SC" w:cs="Noto Sans CJK SC"/>
                <w:b/>
                <w:sz w:val="18"/>
              </w:rPr>
              <w:t xml:space="preserve">优先级</w:t>
            </w:r>
            <w:pPr>
              <w:snapToGrid w:val="0"/>
              <w:spacing w:line="300" w:lineRule="exact" w:after="90"/>
            </w:pPr>
          </w:p>
        </w:tc>
        <w:tc>
          <w:tcPr>
            <w:tcW w:type="dxa" w:w="3685"/>
            <w:shd w:fill="D9EAF7"/>
            <w:tcMar>
              <w:top w:w="120" w:type="dxa"/>
              <w:start w:w="120" w:type="dxa"/>
              <w:bottom w:w="120" w:type="dxa"/>
              <w:end w:w="120" w:type="dxa"/>
            </w:tcMar>
          </w:tcPr>
          <w:p>
            <w:r>
              <w:rPr>
                <w:rFonts w:ascii="Noto Sans CJK SC" w:hAnsi="Noto Sans CJK SC" w:eastAsia="Noto Sans CJK SC" w:cs="Noto Sans CJK SC"/>
                <w:b/>
                <w:sz w:val="18"/>
              </w:rPr>
              <w:t xml:space="preserve">措施</w:t>
            </w:r>
            <w:pPr>
              <w:snapToGrid w:val="0"/>
              <w:spacing w:line="300" w:lineRule="exact" w:after="90"/>
            </w:pPr>
          </w:p>
        </w:tc>
        <w:tc>
          <w:tcPr>
            <w:tcW w:type="dxa" w:w="4649"/>
            <w:shd w:fill="D9EAF7"/>
            <w:tcMar>
              <w:top w:w="120" w:type="dxa"/>
              <w:start w:w="120" w:type="dxa"/>
              <w:bottom w:w="120" w:type="dxa"/>
              <w:end w:w="120" w:type="dxa"/>
            </w:tcMar>
          </w:tcPr>
          <w:p>
            <w:r>
              <w:rPr>
                <w:rFonts w:ascii="Noto Sans CJK SC" w:hAnsi="Noto Sans CJK SC" w:eastAsia="Noto Sans CJK SC" w:cs="Noto Sans CJK SC"/>
                <w:b/>
                <w:sz w:val="18"/>
              </w:rPr>
              <w:t xml:space="preserve">目的</w:t>
            </w:r>
            <w:pPr>
              <w:snapToGrid w:val="0"/>
              <w:spacing w:line="300" w:lineRule="exact" w:after="90"/>
            </w:pPr>
          </w:p>
        </w:tc>
        <w:trPr>
          <w:cantSplit/>
          <w:tblHeader/>
        </w:trPr>
      </w:tr>
      <w:tr>
        <w:tc>
          <w:tcPr>
            <w:tcW w:type="dxa" w:w="1134"/>
            <w:tcMar>
              <w:top w:w="120" w:type="dxa"/>
              <w:start w:w="120" w:type="dxa"/>
              <w:bottom w:w="120" w:type="dxa"/>
              <w:end w:w="120" w:type="dxa"/>
            </w:tcMar>
          </w:tcPr>
          <w:p>
            <w:r>
              <w:rPr>
                <w:rFonts w:ascii="Noto Sans CJK SC" w:hAnsi="Noto Sans CJK SC" w:eastAsia="Noto Sans CJK SC" w:cs="Noto Sans CJK SC"/>
                <w:sz w:val="17"/>
              </w:rPr>
              <w:t xml:space="preserve">必需</w:t>
            </w:r>
            <w:pPr>
              <w:snapToGrid w:val="0"/>
              <w:spacing w:line="300" w:lineRule="exact" w:after="90"/>
            </w:pPr>
          </w:p>
        </w:tc>
        <w:tc>
          <w:tcPr>
            <w:tcW w:type="dxa" w:w="3685"/>
            <w:tcMar>
              <w:top w:w="120" w:type="dxa"/>
              <w:start w:w="120" w:type="dxa"/>
              <w:bottom w:w="120" w:type="dxa"/>
              <w:end w:w="120" w:type="dxa"/>
            </w:tcMar>
          </w:tcPr>
          <w:p>
            <w:r>
              <w:rPr>
                <w:rFonts w:ascii="Noto Sans CJK SC" w:hAnsi="Noto Sans CJK SC" w:eastAsia="Noto Sans CJK SC" w:cs="Noto Sans CJK SC"/>
                <w:sz w:val="17"/>
              </w:rPr>
              <w:t xml:space="preserve">在Etherscan上验证源代码</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确认实际部署的字节码与所提供的源代码一致</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SC" w:hAnsi="Noto Sans CJK SC" w:eastAsia="Noto Sans CJK SC" w:cs="Noto Sans CJK SC"/>
                <w:sz w:val="17"/>
              </w:rPr>
              <w:t xml:space="preserve">必需</w:t>
            </w:r>
            <w:pPr>
              <w:snapToGrid w:val="0"/>
              <w:spacing w:line="300" w:lineRule="exact" w:after="90"/>
            </w:pPr>
          </w:p>
        </w:tc>
        <w:tc>
          <w:tcPr>
            <w:tcW w:type="dxa" w:w="3685"/>
            <w:tcMar>
              <w:top w:w="120" w:type="dxa"/>
              <w:start w:w="120" w:type="dxa"/>
              <w:bottom w:w="120" w:type="dxa"/>
              <w:end w:w="120" w:type="dxa"/>
            </w:tcMar>
          </w:tcPr>
          <w:p>
            <w:r>
              <w:rPr>
                <w:rFonts w:ascii="Noto Sans CJK SC" w:hAnsi="Noto Sans CJK SC" w:eastAsia="Noto Sans CJK SC" w:cs="Noto Sans CJK SC"/>
                <w:sz w:val="17"/>
              </w:rPr>
              <w:t xml:space="preserve">在链上确认totalSupply()</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确认125,000,000 USHC</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SC" w:hAnsi="Noto Sans CJK SC" w:eastAsia="Noto Sans CJK SC" w:cs="Noto Sans CJK SC"/>
                <w:sz w:val="17"/>
              </w:rPr>
              <w:t xml:space="preserve">必需</w:t>
            </w:r>
            <w:pPr>
              <w:snapToGrid w:val="0"/>
              <w:spacing w:line="300" w:lineRule="exact" w:after="90"/>
            </w:pPr>
          </w:p>
        </w:tc>
        <w:tc>
          <w:tcPr>
            <w:tcW w:type="dxa" w:w="3685"/>
            <w:tcMar>
              <w:top w:w="120" w:type="dxa"/>
              <w:start w:w="120" w:type="dxa"/>
              <w:bottom w:w="120" w:type="dxa"/>
              <w:end w:w="120" w:type="dxa"/>
            </w:tcMar>
          </w:tcPr>
          <w:p>
            <w:r>
              <w:rPr>
                <w:rFonts w:ascii="Noto Sans CJK SC" w:hAnsi="Noto Sans CJK SC" w:eastAsia="Noto Sans CJK SC" w:cs="Noto Sans CJK SC"/>
                <w:sz w:val="17"/>
              </w:rPr>
              <w:t xml:space="preserve">确认当前owner地址</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确认burn／ownership权限的控制主体</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SC" w:hAnsi="Noto Sans CJK SC" w:eastAsia="Noto Sans CJK SC" w:cs="Noto Sans CJK SC"/>
                <w:sz w:val="17"/>
              </w:rPr>
              <w:t xml:space="preserve">必需</w:t>
            </w:r>
            <w:pPr>
              <w:snapToGrid w:val="0"/>
              <w:spacing w:line="300" w:lineRule="exact" w:after="90"/>
            </w:pPr>
          </w:p>
        </w:tc>
        <w:tc>
          <w:tcPr>
            <w:tcW w:type="dxa" w:w="3685"/>
            <w:tcMar>
              <w:top w:w="120" w:type="dxa"/>
              <w:start w:w="120" w:type="dxa"/>
              <w:bottom w:w="120" w:type="dxa"/>
              <w:end w:w="120" w:type="dxa"/>
            </w:tcMar>
          </w:tcPr>
          <w:p>
            <w:r>
              <w:rPr>
                <w:rFonts w:ascii="Noto Sans CJK SC" w:hAnsi="Noto Sans CJK SC" w:eastAsia="Noto Sans CJK SC" w:cs="Noto Sans CJK SC"/>
                <w:sz w:val="17"/>
              </w:rPr>
              <w:t xml:space="preserve">整理2019年以来全部ERC-20 Transfer事件</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核实既有流通量及147,400 USHC的流向</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SC" w:hAnsi="Noto Sans CJK SC" w:eastAsia="Noto Sans CJK SC" w:cs="Noto Sans CJK SC"/>
                <w:sz w:val="17"/>
              </w:rPr>
              <w:t xml:space="preserve">建议</w:t>
            </w:r>
            <w:pPr>
              <w:snapToGrid w:val="0"/>
              <w:spacing w:line="300" w:lineRule="exact" w:after="90"/>
            </w:pPr>
          </w:p>
        </w:tc>
        <w:tc>
          <w:tcPr>
            <w:tcW w:type="dxa" w:w="3685"/>
            <w:tcMar>
              <w:top w:w="120" w:type="dxa"/>
              <w:start w:w="120" w:type="dxa"/>
              <w:bottom w:w="120" w:type="dxa"/>
              <w:end w:w="120" w:type="dxa"/>
            </w:tcMar>
          </w:tcPr>
          <w:p>
            <w:r>
              <w:rPr>
                <w:rFonts w:ascii="Noto Sans CJK SC" w:hAnsi="Noto Sans CJK SC" w:eastAsia="Noto Sans CJK SC" w:cs="Noto Sans CJK SC"/>
                <w:sz w:val="17"/>
              </w:rPr>
              <w:t xml:space="preserve">将Treasury资产转移至至少采用2-of-3签名要求的多签钱包</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降低大额持币钱包的单一私钥风险</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SC" w:hAnsi="Noto Sans CJK SC" w:eastAsia="Noto Sans CJK SC" w:cs="Noto Sans CJK SC"/>
                <w:sz w:val="17"/>
              </w:rPr>
              <w:t xml:space="preserve">建议</w:t>
            </w:r>
            <w:pPr>
              <w:snapToGrid w:val="0"/>
              <w:spacing w:line="300" w:lineRule="exact" w:after="90"/>
            </w:pPr>
          </w:p>
        </w:tc>
        <w:tc>
          <w:tcPr>
            <w:tcW w:type="dxa" w:w="3685"/>
            <w:tcMar>
              <w:top w:w="120" w:type="dxa"/>
              <w:start w:w="120" w:type="dxa"/>
              <w:bottom w:w="120" w:type="dxa"/>
              <w:end w:w="120" w:type="dxa"/>
            </w:tcMar>
          </w:tcPr>
          <w:p>
            <w:r>
              <w:rPr>
                <w:rFonts w:ascii="Noto Sans CJK SC" w:hAnsi="Noto Sans CJK SC" w:eastAsia="Noto Sans CJK SC" w:cs="Noto Sans CJK SC"/>
                <w:sz w:val="17"/>
              </w:rPr>
              <w:t xml:space="preserve">开展外部智能合约审计</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提高交易所及投资者尽职调查的可信度</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SC" w:hAnsi="Noto Sans CJK SC" w:eastAsia="Noto Sans CJK SC" w:cs="Noto Sans CJK SC"/>
                <w:sz w:val="17"/>
              </w:rPr>
              <w:t xml:space="preserve">建议</w:t>
            </w:r>
            <w:pPr>
              <w:snapToGrid w:val="0"/>
              <w:spacing w:line="300" w:lineRule="exact" w:after="90"/>
            </w:pPr>
          </w:p>
        </w:tc>
        <w:tc>
          <w:tcPr>
            <w:tcW w:type="dxa" w:w="3685"/>
            <w:tcMar>
              <w:top w:w="120" w:type="dxa"/>
              <w:start w:w="120" w:type="dxa"/>
              <w:bottom w:w="120" w:type="dxa"/>
              <w:end w:w="120" w:type="dxa"/>
            </w:tcMar>
          </w:tcPr>
          <w:p>
            <w:r>
              <w:rPr>
                <w:rFonts w:ascii="Noto Sans CJK SC" w:hAnsi="Noto Sans CJK SC" w:eastAsia="Noto Sans CJK SC" w:cs="Noto Sans CJK SC"/>
                <w:sz w:val="17"/>
              </w:rPr>
              <w:t xml:space="preserve">完善Etherscan／imToken的代币资料</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防止冒充官方合约</w:t>
            </w:r>
            <w:pPr>
              <w:snapToGrid w:val="0"/>
              <w:spacing w:line="300" w:lineRule="exact" w:after="90"/>
            </w:pPr>
          </w:p>
        </w:tc>
        <w:trPr>
          <w:cantSplit/>
        </w:trPr>
      </w:tr>
    </w:tbl>
    <w:p>
      <w:pPr>
        <w:snapToGrid w:val="0"/>
      </w:pPr>
    </w:p>
    <w:p>
      <w:pPr>
        <w:pStyle w:val="Heading1"/>
        <w:snapToGrid w:val="0"/>
        <w:spacing w:line="300" w:lineRule="exact" w:after="90"/>
      </w:pPr>
      <w:r>
        <w:rPr>
          <w:rFonts w:ascii="Noto Sans CJK SC" w:hAnsi="Noto Sans CJK SC" w:eastAsia="Noto Sans CJK SC" w:cs="Noto Sans CJK SC"/>
        </w:rPr>
        <w:t xml:space="preserve">5. 应对代币冒充及相同符号风险</w:t>
      </w:r>
    </w:p>
    <w:p>
      <w:r>
        <w:rPr>
          <w:rFonts w:ascii="Noto Sans CJK SC" w:hAnsi="Noto Sans CJK SC" w:eastAsia="Noto Sans CJK SC" w:cs="Noto Sans CJK SC"/>
        </w:rPr>
        <w:t xml:space="preserve">ERC-20的token name和symbol并非全球唯一，因此第三方可以创建使用相同名称及符号“USHC”的另一代币。但是，官方合约地址无法被完全相同地复制。因此，所有官方文件、网站、白皮书、预售协议及交易所申请书均应将以下地址固定为唯一的官方识别标识。</w:t>
      </w:r>
      <w:pPr>
        <w:snapToGrid w:val="0"/>
        <w:spacing w:line="300" w:lineRule="exact" w:after="90"/>
      </w:pPr>
    </w:p>
    <w:p>
      <w:pPr>
        <w:jc w:val="center"/>
        <w:snapToGrid w:val="0"/>
        <w:spacing w:line="300" w:lineRule="exact" w:after="90"/>
      </w:pPr>
      <w:r>
        <w:rPr>
          <w:rFonts w:ascii="Noto Sans CJK SC" w:hAnsi="Noto Sans CJK SC" w:eastAsia="Noto Sans CJK SC" w:cs="Noto Sans CJK SC"/>
          <w:b/>
          <w:sz w:val="21"/>
        </w:rPr>
        <w:t>0x7176fa45cd326d122b33d97d67a8b55d747411e8</w:t>
      </w:r>
    </w:p>
    <w:p>
      <w:r>
        <w:rPr>
          <w:rFonts w:ascii="Noto Sans CJK SC" w:hAnsi="Noto Sans CJK SC" w:eastAsia="Noto Sans CJK SC" w:cs="Noto Sans CJK SC"/>
        </w:rPr>
        <w:t xml:space="preserve">建议公告：“本合约地址以外的USHC代币均不被认可为官方USHC。”</w:t>
      </w:r>
      <w:pPr>
        <w:snapToGrid w:val="0"/>
        <w:spacing w:line="300" w:lineRule="exact" w:after="90"/>
      </w:pPr>
    </w:p>
    <w:p>
      <w:pPr>
        <w:pStyle w:val="Heading1"/>
        <w:snapToGrid w:val="0"/>
        <w:spacing w:line="300" w:lineRule="exact" w:after="90"/>
      </w:pPr>
      <w:r>
        <w:rPr>
          <w:rFonts w:ascii="Noto Sans CJK SC" w:hAnsi="Noto Sans CJK SC" w:eastAsia="Noto Sans CJK SC" w:cs="Noto Sans CJK SC"/>
        </w:rPr>
        <w:t xml:space="preserve">6. 供交易所提交使用的技术评定</w:t>
      </w:r>
    </w:p>
    <w:tbl>
      <w:tblPr>
        <w:tblStyle w:val="TableGrid"/>
        <w:tblW w:type="auto" w:w="0"/>
        <w:jc w:val="center"/>
        <w:tblLook w:firstColumn="1" w:firstRow="1" w:lastColumn="0" w:lastRow="0" w:noHBand="0" w:noVBand="1" w:val="04A0"/>
      </w:tblPr>
      <w:tblGrid>
        <w:gridCol w:w="4986"/>
        <w:gridCol w:w="4986"/>
      </w:tblGrid>
      <w:tr>
        <w:tc>
          <w:tcPr>
            <w:tcW w:type="dxa" w:w="4819"/>
            <w:shd w:fill="D9EAF7"/>
            <w:tcMar>
              <w:top w:w="120" w:type="dxa"/>
              <w:start w:w="120" w:type="dxa"/>
              <w:bottom w:w="120" w:type="dxa"/>
              <w:end w:w="120" w:type="dxa"/>
            </w:tcMar>
          </w:tcPr>
          <w:p>
            <w:r>
              <w:rPr>
                <w:rFonts w:ascii="Noto Sans CJK SC" w:hAnsi="Noto Sans CJK SC" w:eastAsia="Noto Sans CJK SC" w:cs="Noto Sans CJK SC"/>
                <w:b/>
                <w:sz w:val="18"/>
              </w:rPr>
              <w:t xml:space="preserve">检查项目</w:t>
            </w:r>
            <w:pPr>
              <w:snapToGrid w:val="0"/>
              <w:spacing w:line="300" w:lineRule="exact" w:after="90"/>
            </w:pPr>
          </w:p>
        </w:tc>
        <w:tc>
          <w:tcPr>
            <w:tcW w:type="dxa" w:w="4649"/>
            <w:shd w:fill="D9EAF7"/>
            <w:tcMar>
              <w:top w:w="120" w:type="dxa"/>
              <w:start w:w="120" w:type="dxa"/>
              <w:bottom w:w="120" w:type="dxa"/>
              <w:end w:w="120" w:type="dxa"/>
            </w:tcMar>
          </w:tcPr>
          <w:p>
            <w:r>
              <w:rPr>
                <w:rFonts w:ascii="Noto Sans CJK SC" w:hAnsi="Noto Sans CJK SC" w:eastAsia="Noto Sans CJK SC" w:cs="Noto Sans CJK SC"/>
                <w:b/>
                <w:sz w:val="18"/>
              </w:rPr>
              <w:t xml:space="preserve">评定</w:t>
            </w:r>
            <w:pPr>
              <w:snapToGrid w:val="0"/>
              <w:spacing w:line="300" w:lineRule="exact" w:after="90"/>
            </w:pPr>
          </w:p>
        </w:tc>
        <w:trPr>
          <w:cantSplit/>
          <w:tblHeader/>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 xml:space="preserve">ERC-20基本转账功能</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已确认</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Decimals</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18</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 xml:space="preserve">初始发行方式</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由Constructor一次性发行</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 xml:space="preserve">追加Mint函数</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无</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 xml:space="preserve">增加供应量的路径</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无</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 xml:space="preserve">Burn功能</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仅Owner可执行</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Pause / Blacklist</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无</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Transfer Tax / Fee</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无</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Proxy / Upgrade</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无（基于所提供的代码）</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SC" w:hAnsi="Noto Sans CJK SC" w:eastAsia="Noto Sans CJK SC" w:cs="Noto Sans CJK SC"/>
                <w:sz w:val="17"/>
              </w:rPr>
              <w:t xml:space="preserve">最终分类</w:t>
            </w:r>
            <w:pPr>
              <w:snapToGrid w:val="0"/>
              <w:spacing w:line="300" w:lineRule="exact" w:after="90"/>
            </w:pPr>
          </w:p>
        </w:tc>
        <w:tc>
          <w:tcPr>
            <w:tcW w:type="dxa" w:w="4649"/>
            <w:tcMar>
              <w:top w:w="120" w:type="dxa"/>
              <w:start w:w="120" w:type="dxa"/>
              <w:bottom w:w="120" w:type="dxa"/>
              <w:end w:w="120" w:type="dxa"/>
            </w:tcMar>
          </w:tcPr>
          <w:p>
            <w:r>
              <w:rPr>
                <w:rFonts w:ascii="Noto Sans CJK SC" w:hAnsi="Noto Sans CJK SC" w:eastAsia="Noto Sans CJK SC" w:cs="Noto Sans CJK SC"/>
                <w:sz w:val="17"/>
              </w:rPr>
              <w:t xml:space="preserve">Fixed-Supply／Non-Mintable ERC-20（基于源代码）</w:t>
            </w:r>
            <w:pPr>
              <w:snapToGrid w:val="0"/>
              <w:spacing w:line="300" w:lineRule="exact" w:after="90"/>
            </w:pPr>
          </w:p>
        </w:tc>
        <w:trPr>
          <w:cantSplit/>
        </w:trPr>
      </w:tr>
    </w:tbl>
    <w:p>
      <w:pPr>
        <w:snapToGrid w:val="0"/>
      </w:pPr>
    </w:p>
    <w:p>
      <w:pPr>
        <w:pStyle w:val="Heading1"/>
        <w:snapToGrid w:val="0"/>
        <w:spacing w:line="300" w:lineRule="exact" w:after="90"/>
      </w:pPr>
      <w:r>
        <w:rPr>
          <w:rFonts w:ascii="Noto Sans CJK SC" w:hAnsi="Noto Sans CJK SC" w:eastAsia="Noto Sans CJK SC" w:cs="Noto Sans CJK SC"/>
        </w:rPr>
        <w:t xml:space="preserve">7. 局限性及最终确认</w:t>
      </w:r>
    </w:p>
    <w:p>
      <w:r>
        <w:rPr>
          <w:rFonts w:ascii="Noto Sans CJK SC" w:hAnsi="Noto Sans CJK SC" w:eastAsia="Noto Sans CJK SC" w:cs="Noto Sans CJK SC"/>
        </w:rPr>
        <w:t xml:space="preserve">本文件不能替代正式安全审计（Audit）、法律意见书（Legal Opinion）或交易所的最终上市批准。最终提交时，建议同时提交：① Etherscan已验证源代码，② 链上totalSupply，③ owner地址，④ 部署交易，以及⑤ 代币分配及Treasury政策。</w:t>
      </w:r>
      <w:pPr>
        <w:snapToGrid w:val="0"/>
        <w:spacing w:line="300" w:lineRule="exact" w:after="90"/>
      </w:pPr>
    </w:p>
    <w:p>
      <w:r>
        <w:rPr>
          <w:rFonts w:ascii="Noto Sans CJK SC" w:hAnsi="Noto Sans CJK SC" w:eastAsia="Noto Sans CJK SC" w:cs="Noto Sans CJK SC"/>
        </w:rPr>
        <w:t xml:space="preserve">技术结论：如果实际部署的合约与所提供的源代码一致，则不存在部署后追加铸造USHC的函数或权限路径。总供应量只能通过Burn减少。</w:t>
      </w:r>
      <w:pPr>
        <w:snapToGrid w:val="0"/>
        <w:spacing w:line="300" w:lineRule="exact" w:after="90"/>
      </w:pPr>
    </w:p>
    <w:p>
      <w:pPr>
        <w:snapToGrid w:val="0"/>
      </w:pPr>
    </w:p>
    <w:p>
      <w:pPr>
        <w:jc w:val="left"/>
        <w:snapToGrid w:val="0"/>
        <w:spacing w:line="300" w:lineRule="exact" w:after="90"/>
      </w:pPr>
      <w:r>
        <w:rPr>
          <w:rFonts w:ascii="Noto Sans CJK SC" w:hAnsi="Noto Sans CJK SC" w:eastAsia="Noto Sans CJK SC" w:cs="Noto Sans CJK SC"/>
          <w:b/>
          <w:color w:val="646464"/>
          <w:sz w:val="17"/>
        </w:rPr>
        <w:t xml:space="preserve">编制目的：USHC交易所上市前技术尽职调查材料</w:t>
        <w:br/>
        <w:t>文件性质：基于源代码的初步技术验证</w:t>
      </w:r>
      <w:r>
        <w:rPr>
          <w:rFonts w:ascii="Noto Sans CJK SC" w:hAnsi="Noto Sans CJK SC" w:eastAsia="Noto Sans CJK SC" w:cs="Noto Sans CJK SC"/>
          <w:color w:val="646464"/>
          <w:sz w:val="17"/>
        </w:rPr>
        <w:t/>
      </w:r>
    </w:p>
    <w:sectPr w:rsidR="00FC693F" w:rsidRPr="0006063C" w:rsidSect="00034616">
      <w:headerReference w:type="default" r:id="rId9"/>
      <w:footerReference w:type="default" r:id="rId10"/>
      <w:pgSz w:w="12240" w:h="15840"/>
      <w:pgMar w:top="1020" w:right="1134" w:bottom="964" w:left="1134" w:header="454"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第 </w:t>
      <w:fldChar w:fldCharType="begin"/>
      <w:instrText xml:space="preserve"> PAGE </w:instrText>
      <w:fldChar w:fldCharType="end"/>
    </w:r>
    <w:r>
      <w:rPr>
        <w:sz w:val="18"/>
      </w:rPr>
      <w:t xml:space="preserve"> / </w:t>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s="Noto Sans CJK SC"/>
        <w:color w:val="646464"/>
        <w:sz w:val="17"/>
      </w:rPr>
      <w:t>USHC  |  ERC-20 Technical Verification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ascii="Noto Sans CJK SC" w:hAnsi="Noto Sans CJK SC" w:eastAsia="Noto Sans CJK SC" w:cs="Noto Sans CJK S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Noto Sans CJK SC" w:hAnsi="Noto Sans CJK SC" w:eastAsia="Noto Sans CJK SC" w:cs="Noto Sans CJK S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cs="Noto Sans CJK SC"/>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cs="Noto Sans CJK SC"/>
      <w:b/>
      <w:bCs/>
      <w:color w:val="44444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cs="Noto Sans CJK S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Noto Sans CJK SC" w:hAnsi="Noto Sans CJK SC" w:eastAsia="Noto Sans CJK SC" w:cs="Noto Sans CJK SC"/>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Noto Sans CJK SC" w:hAnsi="Noto Sans CJK SC" w:eastAsia="Noto Sans CJK SC" w:cs="Noto Sans CJK SC"/>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Noto Sans CJK SC" w:hAnsi="Noto Sans CJK SC" w:eastAsia="Noto Sans CJK SC" w:cs="Noto Sans CJK SC"/>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Noto Sans CJK SC" w:hAnsi="Noto Sans CJK SC" w:eastAsia="Noto Sans CJK SC" w:cs="Noto Sans CJK SC"/>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Noto Sans CJK SC" w:hAnsi="Noto Sans CJK SC" w:eastAsia="Noto Sans CJK SC" w:cs="Noto Sans CJK SC"/>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Noto Sans CJK SC" w:hAnsi="Noto Sans CJK SC" w:eastAsia="Noto Sans CJK SC" w:cs="Noto Sans CJK SC"/>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Noto Sans CJK SC" w:hAnsi="Noto Sans CJK SC" w:eastAsia="Noto Sans CJK SC" w:cs="Noto Sans CJK SC"/>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Noto Sans CJK SC" w:hAnsi="Noto Sans CJK SC" w:eastAsia="Noto Sans CJK SC" w:cs="Noto Sans CJK SC"/>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Noto Sans CJK SC" w:hAnsi="Noto Sans CJK SC" w:eastAsia="Noto Sans CJK SC" w:cs="Noto Sans CJK SC"/>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ans CJK SC" w:hAnsi="Noto Sans CJK SC" w:eastAsia="Noto Sans CJK SC" w:cs="Noto Sans CJK SC"/>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Noto Sans CJK SC" w:hAnsi="Noto Sans CJK SC" w:eastAsia="Noto Sans CJK SC" w:cs="Noto Sans CJK SC"/>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SC" w:hAnsi="Noto Sans CJK SC" w:eastAsia="Noto Sans CJK SC" w:cs="Noto Sans CJK SC"/>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Noto Sans CJK SC" w:hAnsi="Noto Sans CJK SC" w:eastAsia="Noto Sans CJK SC" w:cs="Noto Sans CJK SC"/>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Noto Sans CJK SC" w:hAnsi="Noto Sans CJK SC" w:eastAsia="Noto Sans CJK SC" w:cs="Noto Sans CJK SC"/>
      <w:sz w:val="20"/>
      <w:szCs w:val="20"/>
    </w:rPr>
  </w:style>
  <w:style w:type="character" w:customStyle="1" w:styleId="MacroTextChar">
    <w:name w:val="Macro Text Char"/>
    <w:basedOn w:val="DefaultParagraphFont"/>
    <w:link w:val="MacroText"/>
    <w:uiPriority w:val="99"/>
    <w:rsid w:val="0029639D"/>
    <w:rPr>
      <w:rFonts w:ascii="Noto Sans CJK SC" w:hAnsi="Noto Sans CJK SC" w:eastAsia="Noto Sans CJK SC" w:cs="Noto Sans CJK SC"/>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Noto Sans CJK SC" w:hAnsi="Noto Sans CJK SC" w:eastAsia="Noto Sans CJK SC" w:cs="Noto Sans CJK SC"/>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Noto Sans CJK SC" w:hAnsi="Noto Sans CJK SC" w:eastAsia="Noto Sans CJK SC" w:cs="Noto Sans CJK SC"/>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Noto Sans CJK SC" w:hAnsi="Noto Sans CJK SC" w:eastAsia="Noto Sans CJK SC" w:cs="Noto Sans CJK SC"/>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Noto Sans CJK SC" w:hAnsi="Noto Sans CJK SC" w:eastAsia="Noto Sans CJK SC" w:cs="Noto Sans CJK SC"/>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Noto Sans CJK SC" w:hAnsi="Noto Sans CJK SC" w:eastAsia="Noto Sans CJK SC" w:cs="Noto Sans CJK SC"/>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Noto Sans CJK SC" w:hAnsi="Noto Sans CJK SC" w:eastAsia="Noto Sans CJK SC" w:cs="Noto Sans CJK SC"/>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ascii="Noto Sans CJK SC" w:hAnsi="Noto Sans CJK SC" w:eastAsia="Noto Sans CJK SC" w:cs="Noto Sans CJK SC"/>
        <w:b/>
        <w:bCs/>
      </w:rPr>
    </w:tblStylePr>
    <w:tblStylePr w:type="lastCol">
      <w:rPr>
        <w:rFonts w:asciiTheme="majorHAnsi" w:eastAsiaTheme="majorEastAsia" w:hAnsiTheme="majorHAnsi" w:cstheme="majorBidi" w:ascii="Noto Sans CJK SC" w:hAnsi="Noto Sans CJK SC" w:eastAsia="Noto Sans CJK SC" w:cs="Noto Sans CJK SC"/>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ascii="Noto Sans CJK SC" w:hAnsi="Noto Sans CJK SC" w:eastAsia="Noto Sans CJK SC" w:cs="Noto Sans CJK SC"/>
        <w:b/>
        <w:bCs/>
      </w:rPr>
    </w:tblStylePr>
    <w:tblStylePr w:type="lastCol">
      <w:rPr>
        <w:rFonts w:asciiTheme="majorHAnsi" w:eastAsiaTheme="majorEastAsia" w:hAnsiTheme="majorHAnsi" w:cstheme="majorBidi" w:ascii="Noto Sans CJK SC" w:hAnsi="Noto Sans CJK SC" w:eastAsia="Noto Sans CJK SC" w:cs="Noto Sans CJK SC"/>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ascii="Noto Sans CJK SC" w:hAnsi="Noto Sans CJK SC" w:eastAsia="Noto Sans CJK SC" w:cs="Noto Sans CJK SC"/>
        <w:b/>
        <w:bCs/>
      </w:rPr>
    </w:tblStylePr>
    <w:tblStylePr w:type="lastCol">
      <w:rPr>
        <w:rFonts w:asciiTheme="majorHAnsi" w:eastAsiaTheme="majorEastAsia" w:hAnsiTheme="majorHAnsi" w:cstheme="majorBidi" w:ascii="Noto Sans CJK SC" w:hAnsi="Noto Sans CJK SC" w:eastAsia="Noto Sans CJK SC" w:cs="Noto Sans CJK SC"/>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ascii="Noto Sans CJK SC" w:hAnsi="Noto Sans CJK SC" w:eastAsia="Noto Sans CJK SC" w:cs="Noto Sans CJK SC"/>
        <w:b/>
        <w:bCs/>
      </w:rPr>
    </w:tblStylePr>
    <w:tblStylePr w:type="lastCol">
      <w:rPr>
        <w:rFonts w:asciiTheme="majorHAnsi" w:eastAsiaTheme="majorEastAsia" w:hAnsiTheme="majorHAnsi" w:cstheme="majorBidi" w:ascii="Noto Sans CJK SC" w:hAnsi="Noto Sans CJK SC" w:eastAsia="Noto Sans CJK SC" w:cs="Noto Sans CJK SC"/>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ascii="Noto Sans CJK SC" w:hAnsi="Noto Sans CJK SC" w:eastAsia="Noto Sans CJK SC" w:cs="Noto Sans CJK SC"/>
        <w:b/>
        <w:bCs/>
      </w:rPr>
    </w:tblStylePr>
    <w:tblStylePr w:type="lastCol">
      <w:rPr>
        <w:rFonts w:asciiTheme="majorHAnsi" w:eastAsiaTheme="majorEastAsia" w:hAnsiTheme="majorHAnsi" w:cstheme="majorBidi" w:ascii="Noto Sans CJK SC" w:hAnsi="Noto Sans CJK SC" w:eastAsia="Noto Sans CJK SC" w:cs="Noto Sans CJK SC"/>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ascii="Noto Sans CJK SC" w:hAnsi="Noto Sans CJK SC" w:eastAsia="Noto Sans CJK SC" w:cs="Noto Sans CJK SC"/>
        <w:b/>
        <w:bCs/>
      </w:rPr>
    </w:tblStylePr>
    <w:tblStylePr w:type="lastCol">
      <w:rPr>
        <w:rFonts w:asciiTheme="majorHAnsi" w:eastAsiaTheme="majorEastAsia" w:hAnsiTheme="majorHAnsi" w:cstheme="majorBidi" w:ascii="Noto Sans CJK SC" w:hAnsi="Noto Sans CJK SC" w:eastAsia="Noto Sans CJK SC" w:cs="Noto Sans CJK SC"/>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ascii="Noto Sans CJK SC" w:hAnsi="Noto Sans CJK SC" w:eastAsia="Noto Sans CJK SC" w:cs="Noto Sans CJK SC"/>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ascii="Noto Sans CJK SC" w:hAnsi="Noto Sans CJK SC" w:eastAsia="Noto Sans CJK SC" w:cs="Noto Sans CJK SC"/>
        <w:b/>
        <w:bCs/>
      </w:rPr>
    </w:tblStylePr>
    <w:tblStylePr w:type="lastCol">
      <w:rPr>
        <w:rFonts w:asciiTheme="majorHAnsi" w:eastAsiaTheme="majorEastAsia" w:hAnsiTheme="majorHAnsi" w:cstheme="majorBidi" w:ascii="Noto Sans CJK SC" w:hAnsi="Noto Sans CJK SC" w:eastAsia="Noto Sans CJK SC" w:cs="Noto Sans CJK SC"/>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ascii="Noto Sans CJK SC" w:hAnsi="Noto Sans CJK SC" w:eastAsia="Noto Sans CJK SC" w:cs="Noto Sans CJK SC"/>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ascii="Noto Sans CJK SC" w:hAnsi="Noto Sans CJK SC" w:eastAsia="Noto Sans CJK SC" w:cs="Noto Sans CJK SC"/>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ascii="Noto Sans CJK SC" w:hAnsi="Noto Sans CJK SC" w:eastAsia="Noto Sans CJK SC" w:cs="Noto Sans CJK SC"/>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ascii="Noto Sans CJK SC" w:hAnsi="Noto Sans CJK SC" w:eastAsia="Noto Sans CJK SC" w:cs="Noto Sans CJK SC"/>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ascii="Noto Sans CJK SC" w:hAnsi="Noto Sans CJK SC" w:eastAsia="Noto Sans CJK SC" w:cs="Noto Sans CJK SC"/>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ascii="Noto Sans CJK SC" w:hAnsi="Noto Sans CJK SC" w:eastAsia="Noto Sans CJK SC" w:cs="Noto Sans CJK SC"/>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ascii="Noto Sans CJK SC" w:hAnsi="Noto Sans CJK SC" w:eastAsia="Noto Sans CJK SC" w:cs="Noto Sans CJK SC"/>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Noto Sans CJK SC" w:hAnsi="Noto Sans CJK SC" w:eastAsia="Noto Sans CJK SC" w:cs="Noto Sans CJK SC"/>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Noto Sans CJK SC" w:hAnsi="Noto Sans CJK SC" w:eastAsia="Noto Sans CJK SC" w:cs="Noto Sans CJK SC"/>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