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KR" w:hAnsi="Noto Sans CJK KR" w:eastAsia="Noto Sans CJK KR" w:cs="Noto Sans CJK KR"/>
          <w:b/>
          <w:color w:val="1F4E79"/>
          <w:sz w:val="40"/>
        </w:rPr>
        <w:t>USHC 스마트컨트랙트 기술 검증 보고서</w:t>
      </w:r>
    </w:p>
    <w:p>
      <w:pPr>
        <w:jc w:val="center"/>
      </w:pPr>
      <w:r>
        <w:rPr>
          <w:rFonts w:ascii="Noto Sans CJK KR" w:hAnsi="Noto Sans CJK KR" w:eastAsia="Noto Sans CJK KR" w:cs="Noto Sans CJK KR"/>
          <w:color w:val="5A5A5A"/>
          <w:sz w:val="22"/>
        </w:rPr>
        <w:t>거래소 상장 실사 제출용 · 소스코드 기반 예비 검증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4986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토큰</w:t>
            </w:r>
          </w:p>
        </w:tc>
        <w:tc>
          <w:tcPr>
            <w:tcW w:type="dxa" w:w="498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USHC / USHCToken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네트워크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Ethereum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표준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ERC-20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공식 컨트랙트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0x7176fa45cd326d122b33d97d67a8b55d747411e8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컴파일러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Solidity ^0.4.24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Decimals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18</w:t>
            </w:r>
          </w:p>
        </w:tc>
      </w:tr>
      <w:tr>
        <w:tc>
          <w:tcPr>
            <w:tcW w:type="dxa" w:w="2551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목표 총발행량</w:t>
            </w:r>
          </w:p>
        </w:tc>
        <w:tc>
          <w:tcPr>
            <w:tcW w:type="dxa" w:w="6803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9"/>
              </w:rPr>
              <w:t>125,000,000 USHC</w:t>
            </w:r>
          </w:p>
        </w:tc>
      </w:tr>
      <w:tr>
        <w:tc>
          <w:tcPr>
            <w:tcW w:type="dxa" w:w="2551"/>
            <w:shd w:fill="D9EAD3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핵심 결론</w:t>
            </w:r>
          </w:p>
        </w:tc>
        <w:tc>
          <w:tcPr>
            <w:tcW w:type="dxa" w:w="6803"/>
            <w:shd w:fill="EAF4E5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Noto Sans CJK KR" w:hAnsi="Noto Sans CJK KR" w:eastAsia="Noto Sans CJK KR" w:cs="Noto Sans CJK KR"/>
                <w:b/>
                <w:sz w:val="19"/>
              </w:rPr>
              <w:t>제공된 소스코드 기준: 추가 Mint 기능 없음 / 공급량은 증가할 수 없고 Burn으로만 감소 가능</w:t>
            </w:r>
          </w:p>
        </w:tc>
      </w:tr>
    </w:tbl>
    <w:p/>
    <w:p>
      <w:pPr>
        <w:pStyle w:val="Heading1"/>
      </w:pPr>
      <w:r>
        <w:rPr>
          <w:rFonts w:ascii="Noto Sans CJK KR" w:hAnsi="Noto Sans CJK KR" w:eastAsia="Noto Sans CJK KR" w:cs="Noto Sans CJK KR"/>
        </w:rPr>
        <w:t>1. 검증 범위 및 전제</w:t>
      </w:r>
    </w:p>
    <w:p>
      <w:r>
        <w:rPr>
          <w:rFonts w:ascii="Noto Sans CJK KR" w:hAnsi="Noto Sans CJK KR" w:eastAsia="Noto Sans CJK KR" w:cs="Noto Sans CJK KR"/>
        </w:rPr>
        <w:t>본 보고서는 사용자가 제공한 Solidity 소스코드(pragma solidity ^0.4.24)를 정적 검토한 결과입니다. 실제 Ethereum 메인넷의 배포 bytecode가 본 소스코드와 일치한다는 사실까지 본 문서 자체가 증명하는 것은 아닙니다. 거래소 제출 전 Etherscan Source Code Verification 또는 동등한 bytecode 검증이 필요합니다.</w:t>
      </w:r>
    </w:p>
    <w:p>
      <w:r>
        <w:rPr>
          <w:rFonts w:ascii="Noto Sans CJK KR" w:hAnsi="Noto Sans CJK KR" w:eastAsia="Noto Sans CJK KR" w:cs="Noto Sans CJK KR"/>
        </w:rPr>
        <w:t>총발행량 125,000,000 USHC는 배포 당시 constructor의 initialSupply 인자가 125,000,000으로 입력되었다는 전제입니다. 실제 배포값은 on-chain totalSupply()로 최종 확인해야 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2. 추가 발행(Mint) 가능 여부</w:t>
      </w:r>
    </w:p>
    <w:p>
      <w:r>
        <w:rPr>
          <w:rFonts w:ascii="Noto Sans CJK KR" w:hAnsi="Noto Sans CJK KR" w:eastAsia="Noto Sans CJK KR" w:cs="Noto Sans CJK KR"/>
        </w:rPr>
        <w:t>결론: 제공된 코드에는 mint(), _mint(), issue(), createToken() 또는 totalSupply_와 balances를 동시에 증가시키는 외부/공개 함수가 존재하지 않습니다. 따라서 배포 후 새로운 USHC를 추가 발행하는 경로가 코드상 존재하지 않습니다.</w:t>
      </w:r>
    </w:p>
    <w:p>
      <w:pPr>
        <w:pStyle w:val="ListBullet"/>
      </w:pPr>
      <w:r>
        <w:rPr>
          <w:rFonts w:ascii="Noto Sans CJK KR" w:hAnsi="Noto Sans CJK KR" w:eastAsia="Noto Sans CJK KR" w:cs="Noto Sans CJK KR"/>
          <w:sz w:val="20"/>
        </w:rPr>
        <w:t>최초 공급량은 constructor 실행 시 1회 생성됩니다: totalSupply_ = initialSupply × 10^18.</w:t>
      </w:r>
    </w:p>
    <w:p>
      <w:pPr>
        <w:pStyle w:val="ListBullet"/>
      </w:pPr>
      <w:r>
        <w:rPr>
          <w:rFonts w:ascii="Noto Sans CJK KR" w:hAnsi="Noto Sans CJK KR" w:eastAsia="Noto Sans CJK KR" w:cs="Noto Sans CJK KR"/>
          <w:sz w:val="20"/>
        </w:rPr>
        <w:t>transfer 및 transferFrom은 기존 잔액의 이동만 수행하며 총공급량을 증가시키지 않습니다.</w:t>
      </w:r>
    </w:p>
    <w:p>
      <w:pPr>
        <w:pStyle w:val="ListBullet"/>
      </w:pPr>
      <w:r>
        <w:rPr>
          <w:rFonts w:ascii="Noto Sans CJK KR" w:hAnsi="Noto Sans CJK KR" w:eastAsia="Noto Sans CJK KR" w:cs="Noto Sans CJK KR"/>
          <w:sz w:val="20"/>
        </w:rPr>
        <w:t>burn은 owner 잔액과 totalSupply_를 동시에 감소시키므로 공급량을 줄일 수만 있습니다.</w:t>
      </w:r>
    </w:p>
    <w:p>
      <w:pPr>
        <w:pStyle w:val="ListBullet"/>
      </w:pPr>
      <w:r>
        <w:rPr>
          <w:rFonts w:ascii="Noto Sans CJK KR" w:hAnsi="Noto Sans CJK KR" w:eastAsia="Noto Sans CJK KR" w:cs="Noto Sans CJK KR"/>
          <w:sz w:val="20"/>
        </w:rPr>
        <w:t>Proxy, delegatecall, upgradeTo 등 업그레이드 기능이 보이지 않으므로 이 코드 자체를 사후에 Mint 가능한 로직으로 교체하는 구조도 확인되지 않습니다.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3. Owner 권한 및 관리자 위험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기능</w:t>
            </w:r>
          </w:p>
        </w:tc>
        <w:tc>
          <w:tcPr>
            <w:tcW w:type="dxa" w:w="1984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권한</w:t>
            </w:r>
          </w:p>
        </w:tc>
        <w:tc>
          <w:tcPr>
            <w:tcW w:type="dxa" w:w="1984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공급량 영향</w:t>
            </w:r>
          </w:p>
        </w:tc>
        <w:tc>
          <w:tcPr>
            <w:tcW w:type="dxa" w:w="3118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평가</w:t>
            </w:r>
          </w:p>
        </w:tc>
      </w:tr>
      <w:tr>
        <w:tc>
          <w:tcPr>
            <w:tcW w:type="dxa" w:w="2381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transfer / transferFrom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모든 보유자 / 승인된 spender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변화 없음</w:t>
            </w:r>
          </w:p>
        </w:tc>
        <w:tc>
          <w:tcPr>
            <w:tcW w:type="dxa" w:w="311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일반 ERC-20 기능</w:t>
            </w:r>
          </w:p>
        </w:tc>
      </w:tr>
      <w:tr>
        <w:tc>
          <w:tcPr>
            <w:tcW w:type="dxa" w:w="2381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burn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owner만 가능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감소</w:t>
            </w:r>
          </w:p>
        </w:tc>
        <w:tc>
          <w:tcPr>
            <w:tcW w:type="dxa" w:w="311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추가발행과 무관</w:t>
            </w:r>
          </w:p>
        </w:tc>
      </w:tr>
      <w:tr>
        <w:tc>
          <w:tcPr>
            <w:tcW w:type="dxa" w:w="2381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transferOwnership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owner만 가능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변화 없음</w:t>
            </w:r>
          </w:p>
        </w:tc>
        <w:tc>
          <w:tcPr>
            <w:tcW w:type="dxa" w:w="311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관리권 이전 가능</w:t>
            </w:r>
          </w:p>
        </w:tc>
      </w:tr>
      <w:tr>
        <w:tc>
          <w:tcPr>
            <w:tcW w:type="dxa" w:w="2381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Mint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해당 함수 없음</w:t>
            </w:r>
          </w:p>
        </w:tc>
        <w:tc>
          <w:tcPr>
            <w:tcW w:type="dxa" w:w="198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증가 불가</w:t>
            </w:r>
          </w:p>
        </w:tc>
        <w:tc>
          <w:tcPr>
            <w:tcW w:type="dxa" w:w="311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Non-Mintable</w:t>
            </w:r>
          </w:p>
        </w:tc>
      </w:tr>
    </w:tbl>
    <w:p/>
    <w:p>
      <w:r>
        <w:rPr>
          <w:rFonts w:ascii="Noto Sans CJK KR" w:hAnsi="Noto Sans CJK KR" w:eastAsia="Noto Sans CJK KR" w:cs="Noto Sans CJK KR"/>
        </w:rPr>
        <w:t>주의: transferOwnership(address newOwner)에는 newOwner != address(0) 검사가 없습니다. 따라서 owner를 0x000…000 주소로 이전하면 onlyOwner 기능은 사실상 영구 실행 불가가 됩니다. 이는 되돌릴 수 없으므로 거래소 실사 및 운영정책 확정 후에만 검토해야 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4. 상장 전 권장 기술 조치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134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우선순위</w:t>
            </w:r>
          </w:p>
        </w:tc>
        <w:tc>
          <w:tcPr>
            <w:tcW w:type="dxa" w:w="3685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조치</w:t>
            </w:r>
          </w:p>
        </w:tc>
        <w:tc>
          <w:tcPr>
            <w:tcW w:type="dxa" w:w="4649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목적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필수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Etherscan에서 소스코드 검증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실제 배포 bytecode와 제공 소스의 일치 확인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필수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totalSupply() 온체인 확인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125,000,000 USHC 확정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필수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현재 owner 주소 확인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burn/ownership 권한 주체 확인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필수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2019년 이후 ERC-20 Transfer 전수 정리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기존 유통물량 및 147,400 USHC 흐름 확인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권장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Treasury를 2-of-3 이상 Multi-Sig로 이전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대량 보유 지갑의 단일키 위험 완화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권장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외부 스마트컨트랙트 감사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거래소·투자자 실사 신뢰도 향상</w:t>
            </w:r>
          </w:p>
        </w:tc>
      </w:tr>
      <w:tr>
        <w:tc>
          <w:tcPr>
            <w:tcW w:type="dxa" w:w="1134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권장</w:t>
            </w:r>
          </w:p>
        </w:tc>
        <w:tc>
          <w:tcPr>
            <w:tcW w:type="dxa" w:w="3685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Etherscan/imToken Token Profile 정비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공식 컨트랙트 사칭 방지</w:t>
            </w:r>
          </w:p>
        </w:tc>
      </w:tr>
    </w:tbl>
    <w:p/>
    <w:p>
      <w:pPr>
        <w:pStyle w:val="Heading1"/>
      </w:pPr>
      <w:r>
        <w:rPr>
          <w:rFonts w:ascii="Noto Sans CJK KR" w:hAnsi="Noto Sans CJK KR" w:eastAsia="Noto Sans CJK KR" w:cs="Noto Sans CJK KR"/>
        </w:rPr>
        <w:t>5. 토큰 사칭 및 동일 심볼 위험 대응</w:t>
      </w:r>
    </w:p>
    <w:p>
      <w:r>
        <w:rPr>
          <w:rFonts w:ascii="Noto Sans CJK KR" w:hAnsi="Noto Sans CJK KR" w:eastAsia="Noto Sans CJK KR" w:cs="Noto Sans CJK KR"/>
        </w:rPr>
        <w:t>ERC-20의 token name과 symbol은 전 세계적으로 고유값이 아니므로 제3자가 “USHC”라는 동일 명칭·심볼의 별도 토큰을 만들 수 있습니다. 그러나 공식 컨트랙트 주소는 동일하게 복제할 수 없습니다. 따라서 모든 공식 문서·홈페이지·백서·프리세일 계약서·거래소 신청서에 아래 주소를 유일한 공식 식별자로 고정해야 합니다.</w:t>
      </w:r>
    </w:p>
    <w:p>
      <w:pPr>
        <w:jc w:val="center"/>
      </w:pPr>
      <w:r>
        <w:rPr>
          <w:rFonts w:ascii="Noto Sans CJK KR" w:hAnsi="Noto Sans CJK KR" w:eastAsia="Noto Sans CJK KR" w:cs="Noto Sans CJK KR"/>
          <w:b/>
          <w:sz w:val="21"/>
        </w:rPr>
        <w:t>0x7176fa45cd326d122b33d97d67a8b55d747411e8</w:t>
      </w:r>
    </w:p>
    <w:p>
      <w:r>
        <w:rPr>
          <w:rFonts w:ascii="Noto Sans CJK KR" w:hAnsi="Noto Sans CJK KR" w:eastAsia="Noto Sans CJK KR" w:cs="Noto Sans CJK KR"/>
        </w:rPr>
        <w:t>권장 고지문: “본 컨트랙트 주소 이외의 USHC 토큰은 공식 USHC로 인정되지 않습니다.”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6. 거래소 제출용 기술 판정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검사항목</w:t>
            </w:r>
          </w:p>
        </w:tc>
        <w:tc>
          <w:tcPr>
            <w:tcW w:type="dxa" w:w="4649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b/>
                <w:sz w:val="18"/>
              </w:rPr>
              <w:t>판정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ERC-20 기본 전송 기능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확인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Decimals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18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초기발행 방식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Constructor 1회 발행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추가 Mint 함수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없음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공급량 증가 경로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없음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Burn 기능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Owner만 가능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Pause / Blacklist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없음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Transfer Tax / Fee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없음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Proxy / Upgrade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없음(제공 코드 기준)</w:t>
            </w:r>
          </w:p>
        </w:tc>
      </w:tr>
      <w:tr>
        <w:tc>
          <w:tcPr>
            <w:tcW w:type="dxa" w:w="481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최종 분류</w:t>
            </w:r>
          </w:p>
        </w:tc>
        <w:tc>
          <w:tcPr>
            <w:tcW w:type="dxa" w:w="4649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Noto Sans CJK KR" w:hAnsi="Noto Sans CJK KR" w:eastAsia="Noto Sans CJK KR" w:cs="Noto Sans CJK KR"/>
                <w:sz w:val="17"/>
              </w:rPr>
              <w:t>Fixed-Supply / Non-Mintable ERC-20 (소스코드 기준)</w:t>
            </w:r>
          </w:p>
        </w:tc>
      </w:tr>
    </w:tbl>
    <w:p/>
    <w:p>
      <w:pPr>
        <w:pStyle w:val="Heading1"/>
      </w:pPr>
      <w:r>
        <w:rPr>
          <w:rFonts w:ascii="Noto Sans CJK KR" w:hAnsi="Noto Sans CJK KR" w:eastAsia="Noto Sans CJK KR" w:cs="Noto Sans CJK KR"/>
        </w:rPr>
        <w:t>7. 제한사항 및 최종 확인</w:t>
      </w:r>
    </w:p>
    <w:p>
      <w:r>
        <w:rPr>
          <w:rFonts w:ascii="Noto Sans CJK KR" w:hAnsi="Noto Sans CJK KR" w:eastAsia="Noto Sans CJK KR" w:cs="Noto Sans CJK KR"/>
        </w:rPr>
        <w:t>본 문서는 정식 보안감사(Audit), 법률의견서(Legal Opinion) 또는 거래소의 최종 상장승인을 대체하지 않습니다. 최종 제출 시 ① Etherscan Verified Source, ② on-chain totalSupply, ③ owner 주소, ④ 배포 트랜잭션, ⑤ 토큰 분배·Treasury 정책을 함께 제출하는 것이 바람직합니다.</w:t>
      </w:r>
    </w:p>
    <w:p>
      <w:r>
        <w:rPr>
          <w:rFonts w:ascii="Noto Sans CJK KR" w:hAnsi="Noto Sans CJK KR" w:eastAsia="Noto Sans CJK KR" w:cs="Noto Sans CJK KR"/>
        </w:rPr>
        <w:t>기술 결론: 실제 배포 컨트랙트가 제공된 소스코드와 일치한다면, 배포 후 추가 USHC를 Mint할 수 있는 함수나 권한 경로는 존재하지 않습니다. 총공급량은 Burn에 의해서만 감소할 수 있습니다.</w:t>
      </w:r>
    </w:p>
    <w:p/>
    <w:p>
      <w:pPr>
        <w:jc w:val="left"/>
      </w:pPr>
      <w:r>
        <w:rPr>
          <w:rFonts w:ascii="Noto Sans CJK KR" w:hAnsi="Noto Sans CJK KR" w:eastAsia="Noto Sans CJK KR" w:cs="Noto Sans CJK KR"/>
          <w:b/>
          <w:color w:val="646464"/>
          <w:sz w:val="17"/>
        </w:rPr>
        <w:t>작성 목적: USHC 거래소 상장 사전 기술실사 자료</w:t>
        <w:br/>
      </w:r>
      <w:r>
        <w:rPr>
          <w:rFonts w:ascii="Noto Sans CJK KR" w:hAnsi="Noto Sans CJK KR" w:eastAsia="Noto Sans CJK KR" w:cs="Noto Sans CJK KR"/>
          <w:color w:val="646464"/>
          <w:sz w:val="17"/>
        </w:rPr>
        <w:t>문서 성격: Source-code based preliminary technical verification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페이지 </w:t>
      <w:fldChar w:fldCharType="begin"/>
      <w:instrText xml:space="preserve"> PAGE </w:instrText>
      <w:fldChar w:fldCharType="end"/>
    </w:r>
    <w:r>
      <w:rPr>
        <w:sz w:val="18"/>
      </w:rPr>
      <w:t xml:space="preserve"> / </w:t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KR" w:hAnsi="Noto Sans CJK KR" w:eastAsia="Noto Sans CJK KR" w:cs="Noto Sans CJK KR"/>
        <w:color w:val="646464"/>
        <w:sz w:val="17"/>
      </w:rPr>
      <w:t>USHC  |  ERC-20 Technical Verification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Noto Sans CJK KR" w:hAnsi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KR" w:hAnsi="Noto Sans CJK KR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KR" w:hAnsi="Noto Sans CJK KR"/>
      <w:b/>
      <w:bCs/>
      <w:color w:val="4444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KR" w:hAnsi="Noto Sans CJK KR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Noto Sans CJK KR" w:hAnsi="Noto Sans CJK KR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