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snapToGrid w:val="0"/>
        <w:spacing w:line="480" w:lineRule="exact" w:after="90"/>
        <w:pStyle w:val="Title"/>
        <w:keepNext/>
      </w:pPr>
      <w:r>
        <w:rPr>
          <w:rFonts w:ascii="Noto Sans CJK JP" w:hAnsi="Noto Sans CJK JP" w:eastAsia="Noto Sans CJK JP" w:cs="Noto Sans CJK JP"/>
          <w:b/>
          <w:color w:val="000000"/>
          <w:sz w:val="40"/>
        </w:rPr>
        <w:t xml:space="preserve">USHCスマートコントラクト技術検証報告書</w:t>
      </w:r>
    </w:p>
    <w:p>
      <w:pPr>
        <w:jc w:val="center"/>
        <w:snapToGrid w:val="0"/>
        <w:spacing w:line="300" w:lineRule="exact" w:after="90"/>
      </w:pPr>
      <w:r>
        <w:rPr>
          <w:rFonts w:ascii="Noto Sans CJK JP" w:hAnsi="Noto Sans CJK JP" w:eastAsia="Noto Sans CJK JP" w:cs="Noto Sans CJK JP"/>
          <w:color w:val="5A5A5A"/>
          <w:sz w:val="22"/>
        </w:rPr>
        <w:t xml:space="preserve">取引所上場審査提出用 · ソースコードに基づく予備検証</w:t>
      </w:r>
    </w:p>
    <w:p>
      <w:pPr>
        <w:snapToGrid w:val="0"/>
      </w:pPr>
    </w:p>
    <w:tbl>
      <w:tblPr>
        <w:tblW w:type="auto" w:w="0"/>
        <w:jc w:val="center"/>
        <w:tblLayout w:type="fixed"/>
        <w:tblLook w:firstColumn="1" w:firstRow="1" w:lastColumn="0" w:lastRow="0" w:noHBand="0" w:noVBand="1" w:val="04A0"/>
      </w:tblPr>
      <w:tblGrid>
        <w:gridCol w:w="2551"/>
        <w:gridCol w:w="6803"/>
      </w:tblGrid>
      <w:tr>
        <w:tc>
          <w:tcPr>
            <w:tcW w:type="dxa" w:w="4986"/>
            <w:shd w:fill="D9EAF7"/>
            <w:vAlign w:val="center"/>
            <w:tcMar>
              <w:top w:w="120" w:type="dxa"/>
              <w:start w:w="120" w:type="dxa"/>
              <w:bottom w:w="120" w:type="dxa"/>
              <w:end w:w="120" w:type="dxa"/>
            </w:tcMar>
          </w:tcPr>
          <w:p>
            <w:r>
              <w:rPr>
                <w:rFonts w:ascii="Noto Sans CJK JP" w:hAnsi="Noto Sans CJK JP" w:eastAsia="Noto Sans CJK JP" w:cs="Noto Sans CJK JP"/>
                <w:b/>
                <w:sz w:val="19"/>
              </w:rPr>
              <w:t xml:space="preserve">トークン</w:t>
            </w:r>
            <w:pPr>
              <w:snapToGrid w:val="0"/>
              <w:spacing w:line="300" w:lineRule="exact" w:after="90"/>
            </w:pPr>
          </w:p>
        </w:tc>
        <w:tc>
          <w:tcPr>
            <w:tcW w:type="dxa" w:w="4986"/>
            <w:vAlign w:val="center"/>
            <w:tcMar>
              <w:top w:w="120" w:type="dxa"/>
              <w:start w:w="120" w:type="dxa"/>
              <w:bottom w:w="120" w:type="dxa"/>
              <w:end w:w="120" w:type="dxa"/>
            </w:tcMar>
          </w:tcPr>
          <w:p>
            <w:r>
              <w:rPr>
                <w:rFonts w:ascii="Noto Sans CJK JP" w:hAnsi="Noto Sans CJK JP" w:eastAsia="Noto Sans CJK JP" w:cs="Noto Sans CJK JP"/>
                <w:sz w:val="19"/>
              </w:rPr>
              <w:t>USHC / USHCToken</w:t>
            </w:r>
            <w:pPr>
              <w:snapToGrid w:val="0"/>
              <w:spacing w:line="300" w:lineRule="exact" w:after="90"/>
            </w:pPr>
          </w:p>
        </w:tc>
        <w:trPr>
          <w:cantSplit/>
          <w:tblHeader/>
        </w:trPr>
      </w:tr>
      <w:tr>
        <w:tc>
          <w:tcPr>
            <w:tcW w:type="dxa" w:w="2551"/>
            <w:shd w:fill="D9EAF7"/>
            <w:vAlign w:val="center"/>
            <w:tcMar>
              <w:top w:w="120" w:type="dxa"/>
              <w:start w:w="120" w:type="dxa"/>
              <w:bottom w:w="120" w:type="dxa"/>
              <w:end w:w="120" w:type="dxa"/>
            </w:tcMar>
          </w:tcPr>
          <w:p>
            <w:r>
              <w:rPr>
                <w:rFonts w:ascii="Noto Sans CJK JP" w:hAnsi="Noto Sans CJK JP" w:eastAsia="Noto Sans CJK JP" w:cs="Noto Sans CJK JP"/>
                <w:b/>
                <w:sz w:val="19"/>
              </w:rPr>
              <w:t xml:space="preserve">ネットワーク</w:t>
            </w:r>
            <w:pPr>
              <w:snapToGrid w:val="0"/>
              <w:spacing w:line="300" w:lineRule="exact" w:after="90"/>
            </w:pPr>
          </w:p>
        </w:tc>
        <w:tc>
          <w:tcPr>
            <w:tcW w:type="dxa" w:w="6803"/>
            <w:vAlign w:val="center"/>
            <w:tcMar>
              <w:top w:w="120" w:type="dxa"/>
              <w:start w:w="120" w:type="dxa"/>
              <w:bottom w:w="120" w:type="dxa"/>
              <w:end w:w="120" w:type="dxa"/>
            </w:tcMar>
          </w:tcPr>
          <w:p>
            <w:r>
              <w:rPr>
                <w:rFonts w:ascii="Noto Sans CJK JP" w:hAnsi="Noto Sans CJK JP" w:eastAsia="Noto Sans CJK JP" w:cs="Noto Sans CJK JP"/>
                <w:sz w:val="19"/>
              </w:rPr>
              <w:t>Ethereum</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JP" w:hAnsi="Noto Sans CJK JP" w:eastAsia="Noto Sans CJK JP" w:cs="Noto Sans CJK JP"/>
                <w:b/>
                <w:sz w:val="19"/>
              </w:rPr>
              <w:t xml:space="preserve">規格</w:t>
            </w:r>
            <w:pPr>
              <w:snapToGrid w:val="0"/>
              <w:spacing w:line="300" w:lineRule="exact" w:after="90"/>
            </w:pPr>
          </w:p>
        </w:tc>
        <w:tc>
          <w:tcPr>
            <w:tcW w:type="dxa" w:w="6803"/>
            <w:vAlign w:val="center"/>
            <w:tcMar>
              <w:top w:w="120" w:type="dxa"/>
              <w:start w:w="120" w:type="dxa"/>
              <w:bottom w:w="120" w:type="dxa"/>
              <w:end w:w="120" w:type="dxa"/>
            </w:tcMar>
          </w:tcPr>
          <w:p>
            <w:r>
              <w:rPr>
                <w:rFonts w:ascii="Noto Sans CJK JP" w:hAnsi="Noto Sans CJK JP" w:eastAsia="Noto Sans CJK JP" w:cs="Noto Sans CJK JP"/>
                <w:sz w:val="19"/>
              </w:rPr>
              <w:t>ERC-20</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JP" w:hAnsi="Noto Sans CJK JP" w:eastAsia="Noto Sans CJK JP" w:cs="Noto Sans CJK JP"/>
                <w:b/>
                <w:sz w:val="19"/>
              </w:rPr>
              <w:t xml:space="preserve">公式コントラクト</w:t>
            </w:r>
            <w:pPr>
              <w:snapToGrid w:val="0"/>
              <w:spacing w:line="300" w:lineRule="exact" w:after="90"/>
            </w:pPr>
          </w:p>
        </w:tc>
        <w:tc>
          <w:tcPr>
            <w:tcW w:type="dxa" w:w="6803"/>
            <w:vAlign w:val="center"/>
            <w:tcMar>
              <w:top w:w="120" w:type="dxa"/>
              <w:start w:w="120" w:type="dxa"/>
              <w:bottom w:w="120" w:type="dxa"/>
              <w:end w:w="120" w:type="dxa"/>
            </w:tcMar>
          </w:tcPr>
          <w:p>
            <w:r>
              <w:rPr>
                <w:rFonts w:ascii="Noto Sans CJK JP" w:hAnsi="Noto Sans CJK JP" w:eastAsia="Noto Sans CJK JP" w:cs="Noto Sans CJK JP"/>
                <w:sz w:val="19"/>
              </w:rPr>
              <w:t>0x7176fa45cd326d122b33d97d67a8b55d747411e8</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JP" w:hAnsi="Noto Sans CJK JP" w:eastAsia="Noto Sans CJK JP" w:cs="Noto Sans CJK JP"/>
                <w:b/>
                <w:sz w:val="19"/>
              </w:rPr>
              <w:t xml:space="preserve">コンパイラ</w:t>
            </w:r>
            <w:pPr>
              <w:snapToGrid w:val="0"/>
              <w:spacing w:line="300" w:lineRule="exact" w:after="90"/>
            </w:pPr>
          </w:p>
        </w:tc>
        <w:tc>
          <w:tcPr>
            <w:tcW w:type="dxa" w:w="6803"/>
            <w:vAlign w:val="center"/>
            <w:tcMar>
              <w:top w:w="120" w:type="dxa"/>
              <w:start w:w="120" w:type="dxa"/>
              <w:bottom w:w="120" w:type="dxa"/>
              <w:end w:w="120" w:type="dxa"/>
            </w:tcMar>
          </w:tcPr>
          <w:p>
            <w:r>
              <w:rPr>
                <w:rFonts w:ascii="Noto Sans CJK JP" w:hAnsi="Noto Sans CJK JP" w:eastAsia="Noto Sans CJK JP" w:cs="Noto Sans CJK JP"/>
                <w:sz w:val="19"/>
              </w:rPr>
              <w:t>Solidity ^0.4.24</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JP" w:hAnsi="Noto Sans CJK JP" w:eastAsia="Noto Sans CJK JP" w:cs="Noto Sans CJK JP"/>
                <w:b/>
                <w:sz w:val="19"/>
              </w:rPr>
              <w:t>Decimals</w:t>
            </w:r>
            <w:pPr>
              <w:snapToGrid w:val="0"/>
              <w:spacing w:line="300" w:lineRule="exact" w:after="90"/>
            </w:pPr>
          </w:p>
        </w:tc>
        <w:tc>
          <w:tcPr>
            <w:tcW w:type="dxa" w:w="6803"/>
            <w:vAlign w:val="center"/>
            <w:tcMar>
              <w:top w:w="120" w:type="dxa"/>
              <w:start w:w="120" w:type="dxa"/>
              <w:bottom w:w="120" w:type="dxa"/>
              <w:end w:w="120" w:type="dxa"/>
            </w:tcMar>
          </w:tcPr>
          <w:p>
            <w:r>
              <w:rPr>
                <w:rFonts w:ascii="Noto Sans CJK JP" w:hAnsi="Noto Sans CJK JP" w:eastAsia="Noto Sans CJK JP" w:cs="Noto Sans CJK JP"/>
                <w:sz w:val="19"/>
              </w:rPr>
              <w:t>18</w:t>
            </w:r>
            <w:pPr>
              <w:snapToGrid w:val="0"/>
              <w:spacing w:line="300" w:lineRule="exact" w:after="90"/>
            </w:pPr>
          </w:p>
        </w:tc>
        <w:trPr>
          <w:cantSplit/>
        </w:trPr>
      </w:tr>
      <w:tr>
        <w:tc>
          <w:tcPr>
            <w:tcW w:type="dxa" w:w="2551"/>
            <w:shd w:fill="D9EAF7"/>
            <w:vAlign w:val="center"/>
            <w:tcMar>
              <w:top w:w="120" w:type="dxa"/>
              <w:start w:w="120" w:type="dxa"/>
              <w:bottom w:w="120" w:type="dxa"/>
              <w:end w:w="120" w:type="dxa"/>
            </w:tcMar>
          </w:tcPr>
          <w:p>
            <w:r>
              <w:rPr>
                <w:rFonts w:ascii="Noto Sans CJK JP" w:hAnsi="Noto Sans CJK JP" w:eastAsia="Noto Sans CJK JP" w:cs="Noto Sans CJK JP"/>
                <w:b/>
                <w:sz w:val="19"/>
              </w:rPr>
              <w:t xml:space="preserve">目標総発行量</w:t>
            </w:r>
            <w:pPr>
              <w:snapToGrid w:val="0"/>
              <w:spacing w:line="300" w:lineRule="exact" w:after="90"/>
            </w:pPr>
          </w:p>
        </w:tc>
        <w:tc>
          <w:tcPr>
            <w:tcW w:type="dxa" w:w="6803"/>
            <w:vAlign w:val="center"/>
            <w:tcMar>
              <w:top w:w="120" w:type="dxa"/>
              <w:start w:w="120" w:type="dxa"/>
              <w:bottom w:w="120" w:type="dxa"/>
              <w:end w:w="120" w:type="dxa"/>
            </w:tcMar>
          </w:tcPr>
          <w:p>
            <w:r>
              <w:rPr>
                <w:rFonts w:ascii="Noto Sans CJK JP" w:hAnsi="Noto Sans CJK JP" w:eastAsia="Noto Sans CJK JP" w:cs="Noto Sans CJK JP"/>
                <w:sz w:val="19"/>
              </w:rPr>
              <w:t>125,000,000 USHC</w:t>
            </w:r>
            <w:pPr>
              <w:snapToGrid w:val="0"/>
              <w:spacing w:line="300" w:lineRule="exact" w:after="90"/>
            </w:pPr>
          </w:p>
        </w:tc>
        <w:trPr>
          <w:cantSplit/>
        </w:trPr>
      </w:tr>
      <w:tr>
        <w:tc>
          <w:tcPr>
            <w:tcW w:type="dxa" w:w="2551"/>
            <w:shd w:fill="D9EAD3"/>
            <w:tcMar>
              <w:top w:w="120" w:type="dxa"/>
              <w:start w:w="120" w:type="dxa"/>
              <w:bottom w:w="120" w:type="dxa"/>
              <w:end w:w="120" w:type="dxa"/>
            </w:tcMar>
            <w:vAlign w:val="center"/>
          </w:tcPr>
          <w:p>
            <w:r>
              <w:rPr>
                <w:rFonts w:ascii="Noto Sans CJK JP" w:hAnsi="Noto Sans CJK JP" w:eastAsia="Noto Sans CJK JP" w:cs="Noto Sans CJK JP"/>
                <w:b/>
                <w:sz w:val="19"/>
              </w:rPr>
              <w:t xml:space="preserve">主要な結論</w:t>
            </w:r>
            <w:pPr>
              <w:snapToGrid w:val="0"/>
              <w:spacing w:line="300" w:lineRule="exact" w:after="90"/>
            </w:pPr>
          </w:p>
        </w:tc>
        <w:tc>
          <w:tcPr>
            <w:tcW w:type="dxa" w:w="6803"/>
            <w:shd w:fill="EAF4E5"/>
            <w:tcMar>
              <w:top w:w="120" w:type="dxa"/>
              <w:start w:w="120" w:type="dxa"/>
              <w:bottom w:w="120" w:type="dxa"/>
              <w:end w:w="120" w:type="dxa"/>
            </w:tcMar>
            <w:vAlign w:val="center"/>
          </w:tcPr>
          <w:p>
            <w:r>
              <w:rPr>
                <w:rFonts w:ascii="Noto Sans CJK JP" w:hAnsi="Noto Sans CJK JP" w:eastAsia="Noto Sans CJK JP" w:cs="Noto Sans CJK JP"/>
                <w:b/>
                <w:sz w:val="19"/>
              </w:rPr>
              <w:t xml:space="preserve">提供されたソースコードに基づく結論：追加Mint機能なし／供給量は増加できず、Burnによってのみ減少可能</w:t>
            </w:r>
            <w:pPr>
              <w:snapToGrid w:val="0"/>
              <w:spacing w:line="300" w:lineRule="exact" w:after="90"/>
            </w:pPr>
          </w:p>
        </w:tc>
        <w:trPr>
          <w:cantSplit/>
        </w:trPr>
      </w:tr>
    </w:tbl>
    <w:p>
      <w:pPr>
        <w:snapToGrid w:val="0"/>
      </w:pPr>
    </w:p>
    <w:p>
      <w:pPr>
        <w:pStyle w:val="Heading1"/>
        <w:snapToGrid w:val="0"/>
        <w:spacing w:line="300" w:lineRule="exact" w:after="90"/>
      </w:pPr>
      <w:r>
        <w:rPr>
          <w:rFonts w:ascii="Noto Sans CJK JP" w:hAnsi="Noto Sans CJK JP" w:eastAsia="Noto Sans CJK JP" w:cs="Noto Sans CJK JP"/>
        </w:rPr>
        <w:t xml:space="preserve">1. 検証範囲と前提</w:t>
      </w:r>
    </w:p>
    <w:p>
      <w:r>
        <w:rPr>
          <w:rFonts w:ascii="Noto Sans CJK JP" w:hAnsi="Noto Sans CJK JP" w:eastAsia="Noto Sans CJK JP" w:cs="Noto Sans CJK JP"/>
        </w:rPr>
        <w:t xml:space="preserve">本報告書は、ユーザーが提供したSolidityソースコード（pragma solidity ^0.4.24）を静的に検討した結果です。本書自体は、Ethereumメインネットに実際にデプロイされたbytecodeが当該ソースコードと一致することまで証明するものではありません。取引所への提出前に、Etherscan Source Code Verificationまたは同等のbytecode検証が必要です。</w:t>
      </w:r>
      <w:pPr>
        <w:snapToGrid w:val="0"/>
        <w:spacing w:line="300" w:lineRule="exact" w:after="90"/>
      </w:pPr>
    </w:p>
    <w:p>
      <w:r>
        <w:rPr>
          <w:rFonts w:ascii="Noto Sans CJK JP" w:hAnsi="Noto Sans CJK JP" w:eastAsia="Noto Sans CJK JP" w:cs="Noto Sans CJK JP"/>
        </w:rPr>
        <w:t xml:space="preserve">総発行量125,000,000 USHCは、デプロイ時にconstructorのinitialSupply引数へ125,000,000が入力されたことを前提とします。実際のデプロイ値は、オンチェーンのtotalSupply()で最終確認する必要があります。</w:t>
      </w:r>
      <w:pPr>
        <w:snapToGrid w:val="0"/>
        <w:spacing w:line="300" w:lineRule="exact" w:after="90"/>
      </w:pPr>
    </w:p>
    <w:p>
      <w:pPr>
        <w:pStyle w:val="Heading1"/>
        <w:snapToGrid w:val="0"/>
        <w:spacing w:line="300" w:lineRule="exact" w:after="90"/>
      </w:pPr>
      <w:r>
        <w:rPr>
          <w:rFonts w:ascii="Noto Sans CJK JP" w:hAnsi="Noto Sans CJK JP" w:eastAsia="Noto Sans CJK JP" w:cs="Noto Sans CJK JP"/>
        </w:rPr>
        <w:t xml:space="preserve">2. 追加発行（Mint）の可否</w:t>
      </w:r>
    </w:p>
    <w:p>
      <w:r>
        <w:rPr>
          <w:rFonts w:ascii="Noto Sans CJK JP" w:hAnsi="Noto Sans CJK JP" w:eastAsia="Noto Sans CJK JP" w:cs="Noto Sans CJK JP"/>
        </w:rPr>
        <w:t xml:space="preserve">結論：提供されたコードには、mint()、_mint()、issue()、createToken()、またはtotalSupply_とbalancesを同時に増加させるexternal／public関数が存在しません。したがって、デプロイ後にUSHCを追加発行する経路はコード上存在しません。</w:t>
      </w:r>
      <w:pPr>
        <w:snapToGrid w:val="0"/>
        <w:spacing w:line="300" w:lineRule="exact" w:after="90"/>
      </w:pPr>
    </w:p>
    <w:p>
      <w:pPr>
        <w:pStyle w:val="ListBullet"/>
        <w:snapToGrid w:val="0"/>
        <w:spacing w:line="300" w:lineRule="exact" w:after="90"/>
      </w:pPr>
      <w:r>
        <w:rPr>
          <w:rFonts w:ascii="Noto Sans CJK JP" w:hAnsi="Noto Sans CJK JP" w:eastAsia="Noto Sans CJK JP" w:cs="Noto Sans CJK JP"/>
          <w:sz w:val="20"/>
        </w:rPr>
        <w:t xml:space="preserve">初期供給量はconstructor実行時に一度だけ生成されます：totalSupply_ = initialSupply × 10^18。</w:t>
      </w:r>
    </w:p>
    <w:p>
      <w:pPr>
        <w:pStyle w:val="ListBullet"/>
        <w:snapToGrid w:val="0"/>
        <w:spacing w:line="300" w:lineRule="exact" w:after="90"/>
      </w:pPr>
      <w:r>
        <w:rPr>
          <w:rFonts w:ascii="Noto Sans CJK JP" w:hAnsi="Noto Sans CJK JP" w:eastAsia="Noto Sans CJK JP" w:cs="Noto Sans CJK JP"/>
          <w:sz w:val="20"/>
        </w:rPr>
        <w:t xml:space="preserve">transferおよびtransferFromは既存の残高を移動するだけで、総供給量を増加させません。</w:t>
      </w:r>
    </w:p>
    <w:p>
      <w:pPr>
        <w:pStyle w:val="ListBullet"/>
        <w:snapToGrid w:val="0"/>
        <w:spacing w:line="300" w:lineRule="exact" w:after="90"/>
      </w:pPr>
      <w:r>
        <w:rPr>
          <w:rFonts w:ascii="Noto Sans CJK JP" w:hAnsi="Noto Sans CJK JP" w:eastAsia="Noto Sans CJK JP" w:cs="Noto Sans CJK JP"/>
          <w:sz w:val="20"/>
        </w:rPr>
        <w:t xml:space="preserve">burnはownerの残高とtotalSupply_を同時に減らすため、供給量を減少させることしかできません。</w:t>
      </w:r>
    </w:p>
    <w:p>
      <w:pPr>
        <w:pStyle w:val="ListBullet"/>
        <w:snapToGrid w:val="0"/>
        <w:spacing w:line="300" w:lineRule="exact" w:after="90"/>
      </w:pPr>
      <w:r>
        <w:rPr>
          <w:rFonts w:ascii="Noto Sans CJK JP" w:hAnsi="Noto Sans CJK JP" w:eastAsia="Noto Sans CJK JP" w:cs="Noto Sans CJK JP"/>
          <w:sz w:val="20"/>
        </w:rPr>
        <w:t xml:space="preserve">Proxy、delegatecall、upgradeToなどのアップグレード機能は見当たりません。そのため、デプロイ後に本コードをMint可能なロジックへ置き換える構造も確認されていません。</w:t>
      </w:r>
    </w:p>
    <w:p>
      <w:pPr>
        <w:pStyle w:val="Heading1"/>
        <w:snapToGrid w:val="0"/>
        <w:spacing w:line="300" w:lineRule="exact" w:after="90"/>
      </w:pPr>
      <w:r>
        <w:rPr>
          <w:rFonts w:ascii="Noto Sans CJK JP" w:hAnsi="Noto Sans CJK JP" w:eastAsia="Noto Sans CJK JP" w:cs="Noto Sans CJK JP"/>
        </w:rPr>
        <w:t xml:space="preserve">3. Owner権限と管理者リスク</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381"/>
            <w:shd w:fill="D9EAF7"/>
            <w:tcMar>
              <w:top w:w="120" w:type="dxa"/>
              <w:start w:w="120" w:type="dxa"/>
              <w:bottom w:w="120" w:type="dxa"/>
              <w:end w:w="120" w:type="dxa"/>
            </w:tcMar>
          </w:tcPr>
          <w:p>
            <w:r>
              <w:rPr>
                <w:rFonts w:ascii="Noto Sans CJK JP" w:hAnsi="Noto Sans CJK JP" w:eastAsia="Noto Sans CJK JP" w:cs="Noto Sans CJK JP"/>
                <w:b/>
                <w:sz w:val="18"/>
              </w:rPr>
              <w:t xml:space="preserve">機能</w:t>
            </w:r>
            <w:pPr>
              <w:snapToGrid w:val="0"/>
              <w:spacing w:line="300" w:lineRule="exact" w:after="90"/>
            </w:pPr>
          </w:p>
        </w:tc>
        <w:tc>
          <w:tcPr>
            <w:tcW w:type="dxa" w:w="1984"/>
            <w:shd w:fill="D9EAF7"/>
            <w:tcMar>
              <w:top w:w="120" w:type="dxa"/>
              <w:start w:w="120" w:type="dxa"/>
              <w:bottom w:w="120" w:type="dxa"/>
              <w:end w:w="120" w:type="dxa"/>
            </w:tcMar>
          </w:tcPr>
          <w:p>
            <w:r>
              <w:rPr>
                <w:rFonts w:ascii="Noto Sans CJK JP" w:hAnsi="Noto Sans CJK JP" w:eastAsia="Noto Sans CJK JP" w:cs="Noto Sans CJK JP"/>
                <w:b/>
                <w:sz w:val="18"/>
              </w:rPr>
              <w:t xml:space="preserve">権限</w:t>
            </w:r>
            <w:pPr>
              <w:snapToGrid w:val="0"/>
              <w:spacing w:line="300" w:lineRule="exact" w:after="90"/>
            </w:pPr>
          </w:p>
        </w:tc>
        <w:tc>
          <w:tcPr>
            <w:tcW w:type="dxa" w:w="1984"/>
            <w:shd w:fill="D9EAF7"/>
            <w:tcMar>
              <w:top w:w="120" w:type="dxa"/>
              <w:start w:w="120" w:type="dxa"/>
              <w:bottom w:w="120" w:type="dxa"/>
              <w:end w:w="120" w:type="dxa"/>
            </w:tcMar>
          </w:tcPr>
          <w:p>
            <w:r>
              <w:rPr>
                <w:rFonts w:ascii="Noto Sans CJK JP" w:hAnsi="Noto Sans CJK JP" w:eastAsia="Noto Sans CJK JP" w:cs="Noto Sans CJK JP"/>
                <w:b/>
                <w:sz w:val="18"/>
              </w:rPr>
              <w:t xml:space="preserve">供給量への影響</w:t>
            </w:r>
            <w:pPr>
              <w:snapToGrid w:val="0"/>
              <w:spacing w:line="300" w:lineRule="exact" w:after="90"/>
            </w:pPr>
          </w:p>
        </w:tc>
        <w:tc>
          <w:tcPr>
            <w:tcW w:type="dxa" w:w="3118"/>
            <w:shd w:fill="D9EAF7"/>
            <w:tcMar>
              <w:top w:w="120" w:type="dxa"/>
              <w:start w:w="120" w:type="dxa"/>
              <w:bottom w:w="120" w:type="dxa"/>
              <w:end w:w="120" w:type="dxa"/>
            </w:tcMar>
          </w:tcPr>
          <w:p>
            <w:r>
              <w:rPr>
                <w:rFonts w:ascii="Noto Sans CJK JP" w:hAnsi="Noto Sans CJK JP" w:eastAsia="Noto Sans CJK JP" w:cs="Noto Sans CJK JP"/>
                <w:b/>
                <w:sz w:val="18"/>
              </w:rPr>
              <w:t xml:space="preserve">評価</w:t>
            </w:r>
            <w:pPr>
              <w:snapToGrid w:val="0"/>
              <w:spacing w:line="300" w:lineRule="exact" w:after="90"/>
            </w:pPr>
          </w:p>
        </w:tc>
        <w:trPr>
          <w:cantSplit/>
          <w:tblHeader/>
        </w:trPr>
      </w:tr>
      <w:tr>
        <w:tc>
          <w:tcPr>
            <w:tcW w:type="dxa" w:w="2381"/>
            <w:tcMar>
              <w:top w:w="120" w:type="dxa"/>
              <w:start w:w="120" w:type="dxa"/>
              <w:bottom w:w="120" w:type="dxa"/>
              <w:end w:w="120" w:type="dxa"/>
            </w:tcMar>
          </w:tcPr>
          <w:p>
            <w:r>
              <w:rPr>
                <w:rFonts w:ascii="Noto Sans CJK JP" w:hAnsi="Noto Sans CJK JP" w:eastAsia="Noto Sans CJK JP" w:cs="Noto Sans CJK JP"/>
                <w:sz w:val="17"/>
              </w:rPr>
              <w:t>transfer / transferFrom</w:t>
            </w:r>
            <w:pPr>
              <w:snapToGrid w:val="0"/>
              <w:spacing w:line="300" w:lineRule="exact" w:after="90"/>
            </w:pPr>
          </w:p>
        </w:tc>
        <w:tc>
          <w:tcPr>
            <w:tcW w:type="dxa" w:w="1984"/>
            <w:tcMar>
              <w:top w:w="120" w:type="dxa"/>
              <w:start w:w="120" w:type="dxa"/>
              <w:bottom w:w="120" w:type="dxa"/>
              <w:end w:w="120" w:type="dxa"/>
            </w:tcMar>
          </w:tcPr>
          <w:p>
            <w:r>
              <w:rPr>
                <w:rFonts w:ascii="Noto Sans CJK JP" w:hAnsi="Noto Sans CJK JP" w:eastAsia="Noto Sans CJK JP" w:cs="Noto Sans CJK JP"/>
                <w:sz w:val="17"/>
              </w:rPr>
              <w:t xml:space="preserve">すべての保有者／承認済みspender</w:t>
            </w:r>
            <w:pPr>
              <w:snapToGrid w:val="0"/>
              <w:spacing w:line="300" w:lineRule="exact" w:after="90"/>
            </w:pPr>
          </w:p>
        </w:tc>
        <w:tc>
          <w:tcPr>
            <w:tcW w:type="dxa" w:w="1984"/>
            <w:tcMar>
              <w:top w:w="120" w:type="dxa"/>
              <w:start w:w="120" w:type="dxa"/>
              <w:bottom w:w="120" w:type="dxa"/>
              <w:end w:w="120" w:type="dxa"/>
            </w:tcMar>
          </w:tcPr>
          <w:p>
            <w:r>
              <w:rPr>
                <w:rFonts w:ascii="Noto Sans CJK JP" w:hAnsi="Noto Sans CJK JP" w:eastAsia="Noto Sans CJK JP" w:cs="Noto Sans CJK JP"/>
                <w:sz w:val="17"/>
              </w:rPr>
              <w:t xml:space="preserve">変化なし</w:t>
            </w:r>
            <w:pPr>
              <w:snapToGrid w:val="0"/>
              <w:spacing w:line="300" w:lineRule="exact" w:after="90"/>
            </w:pPr>
          </w:p>
        </w:tc>
        <w:tc>
          <w:tcPr>
            <w:tcW w:type="dxa" w:w="3118"/>
            <w:tcMar>
              <w:top w:w="120" w:type="dxa"/>
              <w:start w:w="120" w:type="dxa"/>
              <w:bottom w:w="120" w:type="dxa"/>
              <w:end w:w="120" w:type="dxa"/>
            </w:tcMar>
          </w:tcPr>
          <w:p>
            <w:r>
              <w:rPr>
                <w:rFonts w:ascii="Noto Sans CJK JP" w:hAnsi="Noto Sans CJK JP" w:eastAsia="Noto Sans CJK JP" w:cs="Noto Sans CJK JP"/>
                <w:sz w:val="17"/>
              </w:rPr>
              <w:t xml:space="preserve">通常のERC-20機能</w:t>
            </w:r>
            <w:pPr>
              <w:snapToGrid w:val="0"/>
              <w:spacing w:line="300" w:lineRule="exact" w:after="90"/>
            </w:pPr>
          </w:p>
        </w:tc>
        <w:trPr>
          <w:cantSplit/>
        </w:trPr>
      </w:tr>
      <w:tr>
        <w:tc>
          <w:tcPr>
            <w:tcW w:type="dxa" w:w="2381"/>
            <w:tcMar>
              <w:top w:w="120" w:type="dxa"/>
              <w:start w:w="120" w:type="dxa"/>
              <w:bottom w:w="120" w:type="dxa"/>
              <w:end w:w="120" w:type="dxa"/>
            </w:tcMar>
          </w:tcPr>
          <w:p>
            <w:r>
              <w:rPr>
                <w:rFonts w:ascii="Noto Sans CJK JP" w:hAnsi="Noto Sans CJK JP" w:eastAsia="Noto Sans CJK JP" w:cs="Noto Sans CJK JP"/>
                <w:sz w:val="17"/>
              </w:rPr>
              <w:t>burn</w:t>
            </w:r>
            <w:pPr>
              <w:snapToGrid w:val="0"/>
              <w:spacing w:line="300" w:lineRule="exact" w:after="90"/>
            </w:pPr>
          </w:p>
        </w:tc>
        <w:tc>
          <w:tcPr>
            <w:tcW w:type="dxa" w:w="1984"/>
            <w:tcMar>
              <w:top w:w="120" w:type="dxa"/>
              <w:start w:w="120" w:type="dxa"/>
              <w:bottom w:w="120" w:type="dxa"/>
              <w:end w:w="120" w:type="dxa"/>
            </w:tcMar>
          </w:tcPr>
          <w:p>
            <w:r>
              <w:rPr>
                <w:rFonts w:ascii="Noto Sans CJK JP" w:hAnsi="Noto Sans CJK JP" w:eastAsia="Noto Sans CJK JP" w:cs="Noto Sans CJK JP"/>
                <w:sz w:val="17"/>
              </w:rPr>
              <w:t xml:space="preserve">ownerのみ</w:t>
            </w:r>
            <w:pPr>
              <w:snapToGrid w:val="0"/>
              <w:spacing w:line="300" w:lineRule="exact" w:after="90"/>
            </w:pPr>
          </w:p>
        </w:tc>
        <w:tc>
          <w:tcPr>
            <w:tcW w:type="dxa" w:w="1984"/>
            <w:tcMar>
              <w:top w:w="120" w:type="dxa"/>
              <w:start w:w="120" w:type="dxa"/>
              <w:bottom w:w="120" w:type="dxa"/>
              <w:end w:w="120" w:type="dxa"/>
            </w:tcMar>
          </w:tcPr>
          <w:p>
            <w:r>
              <w:rPr>
                <w:rFonts w:ascii="Noto Sans CJK JP" w:hAnsi="Noto Sans CJK JP" w:eastAsia="Noto Sans CJK JP" w:cs="Noto Sans CJK JP"/>
                <w:sz w:val="17"/>
              </w:rPr>
              <w:t xml:space="preserve">減少</w:t>
            </w:r>
            <w:pPr>
              <w:snapToGrid w:val="0"/>
              <w:spacing w:line="300" w:lineRule="exact" w:after="90"/>
            </w:pPr>
          </w:p>
        </w:tc>
        <w:tc>
          <w:tcPr>
            <w:tcW w:type="dxa" w:w="3118"/>
            <w:tcMar>
              <w:top w:w="120" w:type="dxa"/>
              <w:start w:w="120" w:type="dxa"/>
              <w:bottom w:w="120" w:type="dxa"/>
              <w:end w:w="120" w:type="dxa"/>
            </w:tcMar>
          </w:tcPr>
          <w:p>
            <w:r>
              <w:rPr>
                <w:rFonts w:ascii="Noto Sans CJK JP" w:hAnsi="Noto Sans CJK JP" w:eastAsia="Noto Sans CJK JP" w:cs="Noto Sans CJK JP"/>
                <w:sz w:val="17"/>
              </w:rPr>
              <w:t xml:space="preserve">追加発行とは無関係</w:t>
            </w:r>
            <w:pPr>
              <w:snapToGrid w:val="0"/>
              <w:spacing w:line="300" w:lineRule="exact" w:after="90"/>
            </w:pPr>
          </w:p>
        </w:tc>
        <w:trPr>
          <w:cantSplit/>
        </w:trPr>
      </w:tr>
      <w:tr>
        <w:tc>
          <w:tcPr>
            <w:tcW w:type="dxa" w:w="2381"/>
            <w:tcMar>
              <w:top w:w="120" w:type="dxa"/>
              <w:start w:w="120" w:type="dxa"/>
              <w:bottom w:w="120" w:type="dxa"/>
              <w:end w:w="120" w:type="dxa"/>
            </w:tcMar>
          </w:tcPr>
          <w:p>
            <w:r>
              <w:rPr>
                <w:rFonts w:ascii="Noto Sans CJK JP" w:hAnsi="Noto Sans CJK JP" w:eastAsia="Noto Sans CJK JP" w:cs="Noto Sans CJK JP"/>
                <w:sz w:val="17"/>
              </w:rPr>
              <w:t>transferOwnership</w:t>
            </w:r>
            <w:pPr>
              <w:snapToGrid w:val="0"/>
              <w:spacing w:line="300" w:lineRule="exact" w:after="90"/>
            </w:pPr>
          </w:p>
        </w:tc>
        <w:tc>
          <w:tcPr>
            <w:tcW w:type="dxa" w:w="1984"/>
            <w:tcMar>
              <w:top w:w="120" w:type="dxa"/>
              <w:start w:w="120" w:type="dxa"/>
              <w:bottom w:w="120" w:type="dxa"/>
              <w:end w:w="120" w:type="dxa"/>
            </w:tcMar>
          </w:tcPr>
          <w:p>
            <w:r>
              <w:rPr>
                <w:rFonts w:ascii="Noto Sans CJK JP" w:hAnsi="Noto Sans CJK JP" w:eastAsia="Noto Sans CJK JP" w:cs="Noto Sans CJK JP"/>
                <w:sz w:val="17"/>
              </w:rPr>
              <w:t xml:space="preserve">ownerのみ</w:t>
            </w:r>
            <w:pPr>
              <w:snapToGrid w:val="0"/>
              <w:spacing w:line="300" w:lineRule="exact" w:after="90"/>
            </w:pPr>
          </w:p>
        </w:tc>
        <w:tc>
          <w:tcPr>
            <w:tcW w:type="dxa" w:w="1984"/>
            <w:tcMar>
              <w:top w:w="120" w:type="dxa"/>
              <w:start w:w="120" w:type="dxa"/>
              <w:bottom w:w="120" w:type="dxa"/>
              <w:end w:w="120" w:type="dxa"/>
            </w:tcMar>
          </w:tcPr>
          <w:p>
            <w:r>
              <w:rPr>
                <w:rFonts w:ascii="Noto Sans CJK JP" w:hAnsi="Noto Sans CJK JP" w:eastAsia="Noto Sans CJK JP" w:cs="Noto Sans CJK JP"/>
                <w:sz w:val="17"/>
              </w:rPr>
              <w:t xml:space="preserve">変化なし</w:t>
            </w:r>
            <w:pPr>
              <w:snapToGrid w:val="0"/>
              <w:spacing w:line="300" w:lineRule="exact" w:after="90"/>
            </w:pPr>
          </w:p>
        </w:tc>
        <w:tc>
          <w:tcPr>
            <w:tcW w:type="dxa" w:w="3118"/>
            <w:tcMar>
              <w:top w:w="120" w:type="dxa"/>
              <w:start w:w="120" w:type="dxa"/>
              <w:bottom w:w="120" w:type="dxa"/>
              <w:end w:w="120" w:type="dxa"/>
            </w:tcMar>
          </w:tcPr>
          <w:p>
            <w:r>
              <w:rPr>
                <w:rFonts w:ascii="Noto Sans CJK JP" w:hAnsi="Noto Sans CJK JP" w:eastAsia="Noto Sans CJK JP" w:cs="Noto Sans CJK JP"/>
                <w:sz w:val="17"/>
              </w:rPr>
              <w:t xml:space="preserve">管理権限の移転が可能</w:t>
            </w:r>
            <w:pPr>
              <w:snapToGrid w:val="0"/>
              <w:spacing w:line="300" w:lineRule="exact" w:after="90"/>
            </w:pPr>
          </w:p>
        </w:tc>
        <w:trPr>
          <w:cantSplit/>
        </w:trPr>
      </w:tr>
      <w:tr>
        <w:tc>
          <w:tcPr>
            <w:tcW w:type="dxa" w:w="2381"/>
            <w:tcMar>
              <w:top w:w="120" w:type="dxa"/>
              <w:start w:w="120" w:type="dxa"/>
              <w:bottom w:w="120" w:type="dxa"/>
              <w:end w:w="120" w:type="dxa"/>
            </w:tcMar>
          </w:tcPr>
          <w:p>
            <w:r>
              <w:rPr>
                <w:rFonts w:ascii="Noto Sans CJK JP" w:hAnsi="Noto Sans CJK JP" w:eastAsia="Noto Sans CJK JP" w:cs="Noto Sans CJK JP"/>
                <w:sz w:val="17"/>
              </w:rPr>
              <w:t>Mint</w:t>
            </w:r>
            <w:pPr>
              <w:snapToGrid w:val="0"/>
              <w:spacing w:line="300" w:lineRule="exact" w:after="90"/>
            </w:pPr>
          </w:p>
        </w:tc>
        <w:tc>
          <w:tcPr>
            <w:tcW w:type="dxa" w:w="1984"/>
            <w:tcMar>
              <w:top w:w="120" w:type="dxa"/>
              <w:start w:w="120" w:type="dxa"/>
              <w:bottom w:w="120" w:type="dxa"/>
              <w:end w:w="120" w:type="dxa"/>
            </w:tcMar>
          </w:tcPr>
          <w:p>
            <w:r>
              <w:rPr>
                <w:rFonts w:ascii="Noto Sans CJK JP" w:hAnsi="Noto Sans CJK JP" w:eastAsia="Noto Sans CJK JP" w:cs="Noto Sans CJK JP"/>
                <w:sz w:val="17"/>
              </w:rPr>
              <w:t xml:space="preserve">該当する関数なし</w:t>
            </w:r>
            <w:pPr>
              <w:snapToGrid w:val="0"/>
              <w:spacing w:line="300" w:lineRule="exact" w:after="90"/>
            </w:pPr>
          </w:p>
        </w:tc>
        <w:tc>
          <w:tcPr>
            <w:tcW w:type="dxa" w:w="1984"/>
            <w:tcMar>
              <w:top w:w="120" w:type="dxa"/>
              <w:start w:w="120" w:type="dxa"/>
              <w:bottom w:w="120" w:type="dxa"/>
              <w:end w:w="120" w:type="dxa"/>
            </w:tcMar>
          </w:tcPr>
          <w:p>
            <w:r>
              <w:rPr>
                <w:rFonts w:ascii="Noto Sans CJK JP" w:hAnsi="Noto Sans CJK JP" w:eastAsia="Noto Sans CJK JP" w:cs="Noto Sans CJK JP"/>
                <w:sz w:val="17"/>
              </w:rPr>
              <w:t xml:space="preserve">増加不可</w:t>
            </w:r>
            <w:pPr>
              <w:snapToGrid w:val="0"/>
              <w:spacing w:line="300" w:lineRule="exact" w:after="90"/>
            </w:pPr>
          </w:p>
        </w:tc>
        <w:tc>
          <w:tcPr>
            <w:tcW w:type="dxa" w:w="3118"/>
            <w:tcMar>
              <w:top w:w="120" w:type="dxa"/>
              <w:start w:w="120" w:type="dxa"/>
              <w:bottom w:w="120" w:type="dxa"/>
              <w:end w:w="120" w:type="dxa"/>
            </w:tcMar>
          </w:tcPr>
          <w:p>
            <w:r>
              <w:rPr>
                <w:rFonts w:ascii="Noto Sans CJK JP" w:hAnsi="Noto Sans CJK JP" w:eastAsia="Noto Sans CJK JP" w:cs="Noto Sans CJK JP"/>
                <w:sz w:val="17"/>
              </w:rPr>
              <w:t>Non-Mintable</w:t>
            </w:r>
            <w:pPr>
              <w:snapToGrid w:val="0"/>
              <w:spacing w:line="300" w:lineRule="exact" w:after="90"/>
            </w:pPr>
          </w:p>
        </w:tc>
        <w:trPr>
          <w:cantSplit/>
        </w:trPr>
      </w:tr>
    </w:tbl>
    <w:p>
      <w:pPr>
        <w:snapToGrid w:val="0"/>
      </w:pPr>
    </w:p>
    <w:p>
      <w:r>
        <w:rPr>
          <w:rFonts w:ascii="Noto Sans CJK JP" w:hAnsi="Noto Sans CJK JP" w:eastAsia="Noto Sans CJK JP" w:cs="Noto Sans CJK JP"/>
        </w:rPr>
        <w:t xml:space="preserve">注意：transferOwnership(address newOwner)にはnewOwner != address(0)のチェックがありません。そのため、ownerを0x000…000アドレスへ移転すると、onlyOwner機能は事実上永久に実行不能となります。元に戻せないため、取引所のデューデリジェンスと運用方針の確定後にのみ検討すべきです。</w:t>
      </w:r>
      <w:pPr>
        <w:snapToGrid w:val="0"/>
        <w:spacing w:line="300" w:lineRule="exact" w:after="90"/>
      </w:pPr>
    </w:p>
    <w:p>
      <w:pPr>
        <w:pStyle w:val="Heading1"/>
        <w:snapToGrid w:val="0"/>
        <w:spacing w:line="300" w:lineRule="exact" w:after="90"/>
      </w:pPr>
      <w:r>
        <w:rPr>
          <w:rFonts w:ascii="Noto Sans CJK JP" w:hAnsi="Noto Sans CJK JP" w:eastAsia="Noto Sans CJK JP" w:cs="Noto Sans CJK JP"/>
        </w:rPr>
        <w:t xml:space="preserve">4. 上場前に推奨される技術的措置</w:t>
      </w:r>
    </w:p>
    <w:tbl>
      <w:tblPr>
        <w:tblStyle w:val="TableGrid"/>
        <w:tblW w:type="auto" w:w="0"/>
        <w:jc w:val="center"/>
        <w:tblLook w:firstColumn="1" w:firstRow="1" w:lastColumn="0" w:lastRow="0" w:noHBand="0" w:noVBand="1" w:val="04A0"/>
      </w:tblPr>
      <w:tblGrid>
        <w:gridCol w:w="3324"/>
        <w:gridCol w:w="3324"/>
        <w:gridCol w:w="3324"/>
      </w:tblGrid>
      <w:tr>
        <w:tc>
          <w:tcPr>
            <w:tcW w:type="dxa" w:w="1134"/>
            <w:shd w:fill="D9EAF7"/>
            <w:tcMar>
              <w:top w:w="120" w:type="dxa"/>
              <w:start w:w="120" w:type="dxa"/>
              <w:bottom w:w="120" w:type="dxa"/>
              <w:end w:w="120" w:type="dxa"/>
            </w:tcMar>
          </w:tcPr>
          <w:p>
            <w:r>
              <w:rPr>
                <w:rFonts w:ascii="Noto Sans CJK JP" w:hAnsi="Noto Sans CJK JP" w:eastAsia="Noto Sans CJK JP" w:cs="Noto Sans CJK JP"/>
                <w:b/>
                <w:sz w:val="18"/>
              </w:rPr>
              <w:t xml:space="preserve">優先度</w:t>
            </w:r>
            <w:pPr>
              <w:snapToGrid w:val="0"/>
              <w:spacing w:line="300" w:lineRule="exact" w:after="90"/>
            </w:pPr>
          </w:p>
        </w:tc>
        <w:tc>
          <w:tcPr>
            <w:tcW w:type="dxa" w:w="3685"/>
            <w:shd w:fill="D9EAF7"/>
            <w:tcMar>
              <w:top w:w="120" w:type="dxa"/>
              <w:start w:w="120" w:type="dxa"/>
              <w:bottom w:w="120" w:type="dxa"/>
              <w:end w:w="120" w:type="dxa"/>
            </w:tcMar>
          </w:tcPr>
          <w:p>
            <w:r>
              <w:rPr>
                <w:rFonts w:ascii="Noto Sans CJK JP" w:hAnsi="Noto Sans CJK JP" w:eastAsia="Noto Sans CJK JP" w:cs="Noto Sans CJK JP"/>
                <w:b/>
                <w:sz w:val="18"/>
              </w:rPr>
              <w:t xml:space="preserve">措置</w:t>
            </w:r>
            <w:pPr>
              <w:snapToGrid w:val="0"/>
              <w:spacing w:line="300" w:lineRule="exact" w:after="90"/>
            </w:pPr>
          </w:p>
        </w:tc>
        <w:tc>
          <w:tcPr>
            <w:tcW w:type="dxa" w:w="4649"/>
            <w:shd w:fill="D9EAF7"/>
            <w:tcMar>
              <w:top w:w="120" w:type="dxa"/>
              <w:start w:w="120" w:type="dxa"/>
              <w:bottom w:w="120" w:type="dxa"/>
              <w:end w:w="120" w:type="dxa"/>
            </w:tcMar>
          </w:tcPr>
          <w:p>
            <w:r>
              <w:rPr>
                <w:rFonts w:ascii="Noto Sans CJK JP" w:hAnsi="Noto Sans CJK JP" w:eastAsia="Noto Sans CJK JP" w:cs="Noto Sans CJK JP"/>
                <w:b/>
                <w:sz w:val="18"/>
              </w:rPr>
              <w:t xml:space="preserve">目的</w:t>
            </w:r>
            <w:pPr>
              <w:snapToGrid w:val="0"/>
              <w:spacing w:line="300" w:lineRule="exact" w:after="90"/>
            </w:pPr>
          </w:p>
        </w:tc>
        <w:trPr>
          <w:cantSplit/>
          <w:tblHeader/>
        </w:trPr>
      </w:tr>
      <w:tr>
        <w:tc>
          <w:tcPr>
            <w:tcW w:type="dxa" w:w="1134"/>
            <w:tcMar>
              <w:top w:w="120" w:type="dxa"/>
              <w:start w:w="120" w:type="dxa"/>
              <w:bottom w:w="120" w:type="dxa"/>
              <w:end w:w="120" w:type="dxa"/>
            </w:tcMar>
          </w:tcPr>
          <w:p>
            <w:r>
              <w:rPr>
                <w:rFonts w:ascii="Noto Sans CJK JP" w:hAnsi="Noto Sans CJK JP" w:eastAsia="Noto Sans CJK JP" w:cs="Noto Sans CJK JP"/>
                <w:sz w:val="17"/>
              </w:rPr>
              <w:t xml:space="preserve">必須</w:t>
            </w:r>
            <w:pPr>
              <w:snapToGrid w:val="0"/>
              <w:spacing w:line="300" w:lineRule="exact" w:after="90"/>
            </w:pPr>
          </w:p>
        </w:tc>
        <w:tc>
          <w:tcPr>
            <w:tcW w:type="dxa" w:w="3685"/>
            <w:tcMar>
              <w:top w:w="120" w:type="dxa"/>
              <w:start w:w="120" w:type="dxa"/>
              <w:bottom w:w="120" w:type="dxa"/>
              <w:end w:w="120" w:type="dxa"/>
            </w:tcMar>
          </w:tcPr>
          <w:p>
            <w:r>
              <w:rPr>
                <w:rFonts w:ascii="Noto Sans CJK JP" w:hAnsi="Noto Sans CJK JP" w:eastAsia="Noto Sans CJK JP" w:cs="Noto Sans CJK JP"/>
                <w:sz w:val="17"/>
              </w:rPr>
              <w:t xml:space="preserve">Etherscanでソースコードを検証</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実際のデプロイ済みbytecodeと提供されたソースの一致を確認</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JP" w:hAnsi="Noto Sans CJK JP" w:eastAsia="Noto Sans CJK JP" w:cs="Noto Sans CJK JP"/>
                <w:sz w:val="17"/>
              </w:rPr>
              <w:t xml:space="preserve">必須</w:t>
            </w:r>
            <w:pPr>
              <w:snapToGrid w:val="0"/>
              <w:spacing w:line="300" w:lineRule="exact" w:after="90"/>
            </w:pPr>
          </w:p>
        </w:tc>
        <w:tc>
          <w:tcPr>
            <w:tcW w:type="dxa" w:w="3685"/>
            <w:tcMar>
              <w:top w:w="120" w:type="dxa"/>
              <w:start w:w="120" w:type="dxa"/>
              <w:bottom w:w="120" w:type="dxa"/>
              <w:end w:w="120" w:type="dxa"/>
            </w:tcMar>
          </w:tcPr>
          <w:p>
            <w:r>
              <w:rPr>
                <w:rFonts w:ascii="Noto Sans CJK JP" w:hAnsi="Noto Sans CJK JP" w:eastAsia="Noto Sans CJK JP" w:cs="Noto Sans CJK JP"/>
                <w:sz w:val="17"/>
              </w:rPr>
              <w:t xml:space="preserve">totalSupply()をオンチェーンで確認</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125,000,000 USHCを確定</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JP" w:hAnsi="Noto Sans CJK JP" w:eastAsia="Noto Sans CJK JP" w:cs="Noto Sans CJK JP"/>
                <w:sz w:val="17"/>
              </w:rPr>
              <w:t xml:space="preserve">必須</w:t>
            </w:r>
            <w:pPr>
              <w:snapToGrid w:val="0"/>
              <w:spacing w:line="300" w:lineRule="exact" w:after="90"/>
            </w:pPr>
          </w:p>
        </w:tc>
        <w:tc>
          <w:tcPr>
            <w:tcW w:type="dxa" w:w="3685"/>
            <w:tcMar>
              <w:top w:w="120" w:type="dxa"/>
              <w:start w:w="120" w:type="dxa"/>
              <w:bottom w:w="120" w:type="dxa"/>
              <w:end w:w="120" w:type="dxa"/>
            </w:tcMar>
          </w:tcPr>
          <w:p>
            <w:r>
              <w:rPr>
                <w:rFonts w:ascii="Noto Sans CJK JP" w:hAnsi="Noto Sans CJK JP" w:eastAsia="Noto Sans CJK JP" w:cs="Noto Sans CJK JP"/>
                <w:sz w:val="17"/>
              </w:rPr>
              <w:t xml:space="preserve">現在のownerアドレスを確認</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burn／ownership権限の保有主体を確認</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JP" w:hAnsi="Noto Sans CJK JP" w:eastAsia="Noto Sans CJK JP" w:cs="Noto Sans CJK JP"/>
                <w:sz w:val="17"/>
              </w:rPr>
              <w:t xml:space="preserve">必須</w:t>
            </w:r>
            <w:pPr>
              <w:snapToGrid w:val="0"/>
              <w:spacing w:line="300" w:lineRule="exact" w:after="90"/>
            </w:pPr>
          </w:p>
        </w:tc>
        <w:tc>
          <w:tcPr>
            <w:tcW w:type="dxa" w:w="3685"/>
            <w:tcMar>
              <w:top w:w="120" w:type="dxa"/>
              <w:start w:w="120" w:type="dxa"/>
              <w:bottom w:w="120" w:type="dxa"/>
              <w:end w:w="120" w:type="dxa"/>
            </w:tcMar>
          </w:tcPr>
          <w:p>
            <w:r>
              <w:rPr>
                <w:rFonts w:ascii="Noto Sans CJK JP" w:hAnsi="Noto Sans CJK JP" w:eastAsia="Noto Sans CJK JP" w:cs="Noto Sans CJK JP"/>
                <w:sz w:val="17"/>
              </w:rPr>
              <w:t xml:space="preserve">2019年以降のERC-20 Transferを全件整理</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既存の流通量と147,400 USHCの移動を確認</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JP" w:hAnsi="Noto Sans CJK JP" w:eastAsia="Noto Sans CJK JP" w:cs="Noto Sans CJK JP"/>
                <w:sz w:val="17"/>
              </w:rPr>
              <w:t xml:space="preserve">推奨</w:t>
            </w:r>
            <w:pPr>
              <w:snapToGrid w:val="0"/>
              <w:spacing w:line="300" w:lineRule="exact" w:after="90"/>
            </w:pPr>
          </w:p>
        </w:tc>
        <w:tc>
          <w:tcPr>
            <w:tcW w:type="dxa" w:w="3685"/>
            <w:tcMar>
              <w:top w:w="120" w:type="dxa"/>
              <w:start w:w="120" w:type="dxa"/>
              <w:bottom w:w="120" w:type="dxa"/>
              <w:end w:w="120" w:type="dxa"/>
            </w:tcMar>
          </w:tcPr>
          <w:p>
            <w:r>
              <w:rPr>
                <w:rFonts w:ascii="Noto Sans CJK JP" w:hAnsi="Noto Sans CJK JP" w:eastAsia="Noto Sans CJK JP" w:cs="Noto Sans CJK JP"/>
                <w:sz w:val="17"/>
              </w:rPr>
              <w:t xml:space="preserve">Treasury資産を2-of-3以上のマルチシグへ移管</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大量保有ウォレットの単一鍵リスクを軽減</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JP" w:hAnsi="Noto Sans CJK JP" w:eastAsia="Noto Sans CJK JP" w:cs="Noto Sans CJK JP"/>
                <w:sz w:val="17"/>
              </w:rPr>
              <w:t xml:space="preserve">推奨</w:t>
            </w:r>
            <w:pPr>
              <w:snapToGrid w:val="0"/>
              <w:spacing w:line="300" w:lineRule="exact" w:after="90"/>
            </w:pPr>
          </w:p>
        </w:tc>
        <w:tc>
          <w:tcPr>
            <w:tcW w:type="dxa" w:w="3685"/>
            <w:tcMar>
              <w:top w:w="120" w:type="dxa"/>
              <w:start w:w="120" w:type="dxa"/>
              <w:bottom w:w="120" w:type="dxa"/>
              <w:end w:w="120" w:type="dxa"/>
            </w:tcMar>
          </w:tcPr>
          <w:p>
            <w:r>
              <w:rPr>
                <w:rFonts w:ascii="Noto Sans CJK JP" w:hAnsi="Noto Sans CJK JP" w:eastAsia="Noto Sans CJK JP" w:cs="Noto Sans CJK JP"/>
                <w:sz w:val="17"/>
              </w:rPr>
              <w:t xml:space="preserve">外部スマートコントラクト監査を実施</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取引所・投資家によるデューデリジェンスの信頼性を向上</w:t>
            </w:r>
            <w:pPr>
              <w:snapToGrid w:val="0"/>
              <w:spacing w:line="300" w:lineRule="exact" w:after="90"/>
            </w:pPr>
          </w:p>
        </w:tc>
        <w:trPr>
          <w:cantSplit/>
        </w:trPr>
      </w:tr>
      <w:tr>
        <w:tc>
          <w:tcPr>
            <w:tcW w:type="dxa" w:w="1134"/>
            <w:tcMar>
              <w:top w:w="120" w:type="dxa"/>
              <w:start w:w="120" w:type="dxa"/>
              <w:bottom w:w="120" w:type="dxa"/>
              <w:end w:w="120" w:type="dxa"/>
            </w:tcMar>
          </w:tcPr>
          <w:p>
            <w:r>
              <w:rPr>
                <w:rFonts w:ascii="Noto Sans CJK JP" w:hAnsi="Noto Sans CJK JP" w:eastAsia="Noto Sans CJK JP" w:cs="Noto Sans CJK JP"/>
                <w:sz w:val="17"/>
              </w:rPr>
              <w:t xml:space="preserve">推奨</w:t>
            </w:r>
            <w:pPr>
              <w:snapToGrid w:val="0"/>
              <w:spacing w:line="300" w:lineRule="exact" w:after="90"/>
            </w:pPr>
          </w:p>
        </w:tc>
        <w:tc>
          <w:tcPr>
            <w:tcW w:type="dxa" w:w="3685"/>
            <w:tcMar>
              <w:top w:w="120" w:type="dxa"/>
              <w:start w:w="120" w:type="dxa"/>
              <w:bottom w:w="120" w:type="dxa"/>
              <w:end w:w="120" w:type="dxa"/>
            </w:tcMar>
          </w:tcPr>
          <w:p>
            <w:r>
              <w:rPr>
                <w:rFonts w:ascii="Noto Sans CJK JP" w:hAnsi="Noto Sans CJK JP" w:eastAsia="Noto Sans CJK JP" w:cs="Noto Sans CJK JP"/>
                <w:sz w:val="17"/>
              </w:rPr>
              <w:t xml:space="preserve">Etherscan／imTokenのToken Profileを整備</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公式コントラクトのなりすましを防止</w:t>
            </w:r>
            <w:pPr>
              <w:snapToGrid w:val="0"/>
              <w:spacing w:line="300" w:lineRule="exact" w:after="90"/>
            </w:pPr>
          </w:p>
        </w:tc>
        <w:trPr>
          <w:cantSplit/>
        </w:trPr>
      </w:tr>
    </w:tbl>
    <w:p>
      <w:pPr>
        <w:snapToGrid w:val="0"/>
      </w:pPr>
    </w:p>
    <w:p>
      <w:pPr>
        <w:pStyle w:val="Heading1"/>
        <w:snapToGrid w:val="0"/>
        <w:spacing w:line="300" w:lineRule="exact" w:after="90"/>
      </w:pPr>
      <w:r>
        <w:rPr>
          <w:rFonts w:ascii="Noto Sans CJK JP" w:hAnsi="Noto Sans CJK JP" w:eastAsia="Noto Sans CJK JP" w:cs="Noto Sans CJK JP"/>
        </w:rPr>
        <w:t xml:space="preserve">5. トークンのなりすましと同一シンボルのリスクへの対応</w:t>
      </w:r>
    </w:p>
    <w:p>
      <w:r>
        <w:rPr>
          <w:rFonts w:ascii="Noto Sans CJK JP" w:hAnsi="Noto Sans CJK JP" w:eastAsia="Noto Sans CJK JP" w:cs="Noto Sans CJK JP"/>
        </w:rPr>
        <w:t xml:space="preserve">ERC-20のtoken nameとsymbolは世界全体で一意ではないため、第三者が「USHC」と同じ名称・シンボルを使った別のトークンを作成できます。しかし、公式コントラクトのアドレスを同一のまま複製することはできません。したがって、すべての公式文書、ウェブサイト、ホワイトペーパー、プレセール契約書、取引所申請書において、以下のアドレスを唯一の公式識別子として固定する必要があります。</w:t>
      </w:r>
      <w:pPr>
        <w:snapToGrid w:val="0"/>
        <w:spacing w:line="300" w:lineRule="exact" w:after="90"/>
      </w:pPr>
    </w:p>
    <w:p>
      <w:pPr>
        <w:jc w:val="center"/>
        <w:snapToGrid w:val="0"/>
        <w:spacing w:line="300" w:lineRule="exact" w:after="90"/>
      </w:pPr>
      <w:r>
        <w:rPr>
          <w:rFonts w:ascii="Noto Sans CJK JP" w:hAnsi="Noto Sans CJK JP" w:eastAsia="Noto Sans CJK JP" w:cs="Noto Sans CJK JP"/>
          <w:b/>
          <w:sz w:val="21"/>
        </w:rPr>
        <w:t>0x7176fa45cd326d122b33d97d67a8b55d747411e8</w:t>
      </w:r>
    </w:p>
    <w:p>
      <w:r>
        <w:rPr>
          <w:rFonts w:ascii="Noto Sans CJK JP" w:hAnsi="Noto Sans CJK JP" w:eastAsia="Noto Sans CJK JP" w:cs="Noto Sans CJK JP"/>
        </w:rPr>
        <w:t xml:space="preserve">推奨告知文：「本コントラクトアドレス以外のUSHCトークンは、公式USHCとして認められません。」</w:t>
      </w:r>
      <w:pPr>
        <w:snapToGrid w:val="0"/>
        <w:spacing w:line="300" w:lineRule="exact" w:after="90"/>
      </w:pPr>
    </w:p>
    <w:p>
      <w:pPr>
        <w:pStyle w:val="Heading1"/>
        <w:snapToGrid w:val="0"/>
        <w:spacing w:line="300" w:lineRule="exact" w:after="90"/>
      </w:pPr>
      <w:r>
        <w:rPr>
          <w:rFonts w:ascii="Noto Sans CJK JP" w:hAnsi="Noto Sans CJK JP" w:eastAsia="Noto Sans CJK JP" w:cs="Noto Sans CJK JP"/>
        </w:rPr>
        <w:t xml:space="preserve">6. 取引所提出用の技術判定</w:t>
      </w:r>
    </w:p>
    <w:tbl>
      <w:tblPr>
        <w:tblStyle w:val="TableGrid"/>
        <w:tblW w:type="auto" w:w="0"/>
        <w:jc w:val="center"/>
        <w:tblLook w:firstColumn="1" w:firstRow="1" w:lastColumn="0" w:lastRow="0" w:noHBand="0" w:noVBand="1" w:val="04A0"/>
      </w:tblPr>
      <w:tblGrid>
        <w:gridCol w:w="4986"/>
        <w:gridCol w:w="4986"/>
      </w:tblGrid>
      <w:tr>
        <w:tc>
          <w:tcPr>
            <w:tcW w:type="dxa" w:w="4819"/>
            <w:shd w:fill="D9EAF7"/>
            <w:tcMar>
              <w:top w:w="120" w:type="dxa"/>
              <w:start w:w="120" w:type="dxa"/>
              <w:bottom w:w="120" w:type="dxa"/>
              <w:end w:w="120" w:type="dxa"/>
            </w:tcMar>
          </w:tcPr>
          <w:p>
            <w:r>
              <w:rPr>
                <w:rFonts w:ascii="Noto Sans CJK JP" w:hAnsi="Noto Sans CJK JP" w:eastAsia="Noto Sans CJK JP" w:cs="Noto Sans CJK JP"/>
                <w:b/>
                <w:sz w:val="18"/>
              </w:rPr>
              <w:t xml:space="preserve">検査項目</w:t>
            </w:r>
            <w:pPr>
              <w:snapToGrid w:val="0"/>
              <w:spacing w:line="300" w:lineRule="exact" w:after="90"/>
            </w:pPr>
          </w:p>
        </w:tc>
        <w:tc>
          <w:tcPr>
            <w:tcW w:type="dxa" w:w="4649"/>
            <w:shd w:fill="D9EAF7"/>
            <w:tcMar>
              <w:top w:w="120" w:type="dxa"/>
              <w:start w:w="120" w:type="dxa"/>
              <w:bottom w:w="120" w:type="dxa"/>
              <w:end w:w="120" w:type="dxa"/>
            </w:tcMar>
          </w:tcPr>
          <w:p>
            <w:r>
              <w:rPr>
                <w:rFonts w:ascii="Noto Sans CJK JP" w:hAnsi="Noto Sans CJK JP" w:eastAsia="Noto Sans CJK JP" w:cs="Noto Sans CJK JP"/>
                <w:b/>
                <w:sz w:val="18"/>
              </w:rPr>
              <w:t xml:space="preserve">判定</w:t>
            </w:r>
            <w:pPr>
              <w:snapToGrid w:val="0"/>
              <w:spacing w:line="300" w:lineRule="exact" w:after="90"/>
            </w:pPr>
          </w:p>
        </w:tc>
        <w:trPr>
          <w:cantSplit/>
          <w:tblHeader/>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 xml:space="preserve">ERC-20の基本送金機能</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確認済み</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Decimals</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18</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 xml:space="preserve">初期発行方式</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Constructorによる一度限りの発行</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 xml:space="preserve">追加Mint関数</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なし</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 xml:space="preserve">供給量を増加させる経路</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なし</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 xml:space="preserve">Burn機能</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Ownerのみ</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Pause / Blacklist</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なし</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Transfer Tax / Fee</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なし</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Proxy / Upgrade</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なし（提供されたコードに基づく）</w:t>
            </w:r>
            <w:pPr>
              <w:snapToGrid w:val="0"/>
              <w:spacing w:line="300" w:lineRule="exact" w:after="90"/>
            </w:pPr>
          </w:p>
        </w:tc>
        <w:trPr>
          <w:cantSplit/>
        </w:trPr>
      </w:tr>
      <w:tr>
        <w:tc>
          <w:tcPr>
            <w:tcW w:type="dxa" w:w="4819"/>
            <w:tcMar>
              <w:top w:w="120" w:type="dxa"/>
              <w:start w:w="120" w:type="dxa"/>
              <w:bottom w:w="120" w:type="dxa"/>
              <w:end w:w="120" w:type="dxa"/>
            </w:tcMar>
          </w:tcPr>
          <w:p>
            <w:r>
              <w:rPr>
                <w:rFonts w:ascii="Noto Sans CJK JP" w:hAnsi="Noto Sans CJK JP" w:eastAsia="Noto Sans CJK JP" w:cs="Noto Sans CJK JP"/>
                <w:sz w:val="17"/>
              </w:rPr>
              <w:t xml:space="preserve">最終分類</w:t>
            </w:r>
            <w:pPr>
              <w:snapToGrid w:val="0"/>
              <w:spacing w:line="300" w:lineRule="exact" w:after="90"/>
            </w:pPr>
          </w:p>
        </w:tc>
        <w:tc>
          <w:tcPr>
            <w:tcW w:type="dxa" w:w="4649"/>
            <w:tcMar>
              <w:top w:w="120" w:type="dxa"/>
              <w:start w:w="120" w:type="dxa"/>
              <w:bottom w:w="120" w:type="dxa"/>
              <w:end w:w="120" w:type="dxa"/>
            </w:tcMar>
          </w:tcPr>
          <w:p>
            <w:r>
              <w:rPr>
                <w:rFonts w:ascii="Noto Sans CJK JP" w:hAnsi="Noto Sans CJK JP" w:eastAsia="Noto Sans CJK JP" w:cs="Noto Sans CJK JP"/>
                <w:sz w:val="17"/>
              </w:rPr>
              <w:t xml:space="preserve">Fixed-Supply／Non-Mintable ERC-20（ソースコードに基づく）</w:t>
            </w:r>
            <w:pPr>
              <w:snapToGrid w:val="0"/>
              <w:spacing w:line="300" w:lineRule="exact" w:after="90"/>
            </w:pPr>
          </w:p>
        </w:tc>
        <w:trPr>
          <w:cantSplit/>
        </w:trPr>
      </w:tr>
    </w:tbl>
    <w:p>
      <w:pPr>
        <w:snapToGrid w:val="0"/>
      </w:pPr>
    </w:p>
    <w:p>
      <w:pPr>
        <w:pStyle w:val="Heading1"/>
        <w:snapToGrid w:val="0"/>
        <w:spacing w:line="300" w:lineRule="exact" w:after="90"/>
      </w:pPr>
      <w:r>
        <w:rPr>
          <w:rFonts w:ascii="Noto Sans CJK JP" w:hAnsi="Noto Sans CJK JP" w:eastAsia="Noto Sans CJK JP" w:cs="Noto Sans CJK JP"/>
        </w:rPr>
        <w:t xml:space="preserve">7. 制限事項と最終確認</w:t>
      </w:r>
    </w:p>
    <w:p>
      <w:r>
        <w:rPr>
          <w:rFonts w:ascii="Noto Sans CJK JP" w:hAnsi="Noto Sans CJK JP" w:eastAsia="Noto Sans CJK JP" w:cs="Noto Sans CJK JP"/>
        </w:rPr>
        <w:t xml:space="preserve">本書は、正式なセキュリティ監査（Audit）、法律意見書（Legal Opinion）、または取引所による最終的な上場承認に代わるものではありません。最終提出時には、① Etherscan Verified Source、② オンチェーンのtotalSupply、③ ownerアドレス、④ デプロイトランザクション、⑤ トークン配分・Treasury方針を併せて提出することが望まれます。</w:t>
      </w:r>
      <w:pPr>
        <w:snapToGrid w:val="0"/>
        <w:spacing w:line="300" w:lineRule="exact" w:after="90"/>
      </w:pPr>
    </w:p>
    <w:p>
      <w:r>
        <w:rPr>
          <w:rFonts w:ascii="Noto Sans CJK JP" w:hAnsi="Noto Sans CJK JP" w:eastAsia="Noto Sans CJK JP" w:cs="Noto Sans CJK JP"/>
        </w:rPr>
        <w:t xml:space="preserve">技術的結論：実際にデプロイされたコントラクトが提供されたソースコードと一致する場合、デプロイ後にUSHCを追加Mintできる関数または権限経路は存在しません。総供給量はBurnによってのみ減少します。</w:t>
      </w:r>
      <w:pPr>
        <w:snapToGrid w:val="0"/>
        <w:spacing w:line="300" w:lineRule="exact" w:after="90"/>
      </w:pPr>
    </w:p>
    <w:p>
      <w:pPr>
        <w:snapToGrid w:val="0"/>
      </w:pPr>
    </w:p>
    <w:p>
      <w:pPr>
        <w:jc w:val="left"/>
        <w:snapToGrid w:val="0"/>
        <w:spacing w:line="300" w:lineRule="exact" w:after="90"/>
      </w:pPr>
      <w:r>
        <w:rPr>
          <w:rFonts w:ascii="Noto Sans CJK JP" w:hAnsi="Noto Sans CJK JP" w:eastAsia="Noto Sans CJK JP" w:cs="Noto Sans CJK JP"/>
          <w:b/>
          <w:color w:val="646464"/>
          <w:sz w:val="17"/>
        </w:rPr>
        <w:t xml:space="preserve">作成目的：USHCの取引所上場に向けた事前技術デューデリジェンス資料</w:t>
        <w:br/>
        <w:t>文書の性格：ソースコードに基づく予備的技術検証</w:t>
      </w:r>
      <w:r>
        <w:rPr>
          <w:rFonts w:ascii="Noto Sans CJK JP" w:hAnsi="Noto Sans CJK JP" w:eastAsia="Noto Sans CJK JP" w:cs="Noto Sans CJK JP"/>
          <w:color w:val="646464"/>
          <w:sz w:val="17"/>
        </w:rPr>
        <w:t/>
      </w:r>
    </w:p>
    <w:sectPr w:rsidR="00FC693F" w:rsidRPr="0006063C" w:rsidSect="00034616">
      <w:headerReference w:type="default" r:id="rId9"/>
      <w:footerReference w:type="default" r:id="rId10"/>
      <w:pgSz w:w="12240" w:h="15840"/>
      <w:pgMar w:top="1020" w:right="1134" w:bottom="964" w:left="1134" w:header="454" w:footer="45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ページ </w:t>
      <w:fldChar w:fldCharType="begin"/>
      <w:instrText xml:space="preserve"> PAGE </w:instrText>
      <w:fldChar w:fldCharType="end"/>
    </w:r>
    <w:r>
      <w:rPr>
        <w:sz w:val="18"/>
      </w:rPr>
      <w:t xml:space="preserve"> / </w:t>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JP" w:hAnsi="Noto Sans CJK JP" w:eastAsia="Noto Sans CJK JP" w:cs="Noto Sans CJK JP"/>
        <w:color w:val="646464"/>
        <w:sz w:val="17"/>
      </w:rPr>
      <w:t>USHC  |  ERC-20 Technical Verification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ascii="Noto Sans CJK JP" w:hAnsi="Noto Sans CJK JP" w:eastAsia="Noto Sans CJK JP" w:cs="Noto Sans CJK JP"/>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Noto Sans CJK JP" w:hAnsi="Noto Sans CJK JP" w:eastAsia="Noto Sans CJK JP" w:cs="Noto Sans CJK JP"/>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JP" w:hAnsi="Noto Sans CJK JP" w:eastAsia="Noto Sans CJK JP" w:cs="Noto Sans CJK JP"/>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JP" w:hAnsi="Noto Sans CJK JP" w:eastAsia="Noto Sans CJK JP" w:cs="Noto Sans CJK JP"/>
      <w:b/>
      <w:bCs/>
      <w:color w:val="44444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JP" w:hAnsi="Noto Sans CJK JP" w:eastAsia="Noto Sans CJK JP" w:cs="Noto Sans CJK JP"/>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Noto Sans CJK JP" w:hAnsi="Noto Sans CJK JP" w:eastAsia="Noto Sans CJK JP" w:cs="Noto Sans CJK JP"/>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Noto Sans CJK JP" w:hAnsi="Noto Sans CJK JP" w:eastAsia="Noto Sans CJK JP" w:cs="Noto Sans CJK JP"/>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Noto Sans CJK JP" w:hAnsi="Noto Sans CJK JP" w:eastAsia="Noto Sans CJK JP" w:cs="Noto Sans CJK JP"/>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Noto Sans CJK JP" w:hAnsi="Noto Sans CJK JP" w:eastAsia="Noto Sans CJK JP" w:cs="Noto Sans CJK JP"/>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Noto Sans CJK JP" w:hAnsi="Noto Sans CJK JP" w:eastAsia="Noto Sans CJK JP" w:cs="Noto Sans CJK JP"/>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Noto Sans CJK JP" w:hAnsi="Noto Sans CJK JP" w:eastAsia="Noto Sans CJK JP" w:cs="Noto Sans CJK JP"/>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Noto Sans CJK JP" w:hAnsi="Noto Sans CJK JP" w:eastAsia="Noto Sans CJK JP" w:cs="Noto Sans CJK JP"/>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Noto Sans CJK JP" w:hAnsi="Noto Sans CJK JP" w:eastAsia="Noto Sans CJK JP" w:cs="Noto Sans CJK JP"/>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Noto Sans CJK JP" w:hAnsi="Noto Sans CJK JP" w:eastAsia="Noto Sans CJK JP" w:cs="Noto Sans CJK JP"/>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Sans CJK JP" w:hAnsi="Noto Sans CJK JP" w:eastAsia="Noto Sans CJK JP" w:cs="Noto Sans CJK JP"/>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Noto Sans CJK JP" w:hAnsi="Noto Sans CJK JP" w:eastAsia="Noto Sans CJK JP" w:cs="Noto Sans CJK JP"/>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JP" w:hAnsi="Noto Sans CJK JP" w:eastAsia="Noto Sans CJK JP" w:cs="Noto Sans CJK JP"/>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Noto Sans CJK JP" w:hAnsi="Noto Sans CJK JP" w:eastAsia="Noto Sans CJK JP" w:cs="Noto Sans CJK JP"/>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Noto Sans CJK JP" w:hAnsi="Noto Sans CJK JP" w:eastAsia="Noto Sans CJK JP" w:cs="Noto Sans CJK JP"/>
      <w:sz w:val="20"/>
      <w:szCs w:val="20"/>
    </w:rPr>
  </w:style>
  <w:style w:type="character" w:customStyle="1" w:styleId="MacroTextChar">
    <w:name w:val="Macro Text Char"/>
    <w:basedOn w:val="DefaultParagraphFont"/>
    <w:link w:val="MacroText"/>
    <w:uiPriority w:val="99"/>
    <w:rsid w:val="0029639D"/>
    <w:rPr>
      <w:rFonts w:ascii="Noto Sans CJK JP" w:hAnsi="Noto Sans CJK JP" w:eastAsia="Noto Sans CJK JP" w:cs="Noto Sans CJK JP"/>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Noto Sans CJK JP" w:hAnsi="Noto Sans CJK JP" w:eastAsia="Noto Sans CJK JP" w:cs="Noto Sans CJK JP"/>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Noto Sans CJK JP" w:hAnsi="Noto Sans CJK JP" w:eastAsia="Noto Sans CJK JP" w:cs="Noto Sans CJK JP"/>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Noto Sans CJK JP" w:hAnsi="Noto Sans CJK JP" w:eastAsia="Noto Sans CJK JP" w:cs="Noto Sans CJK JP"/>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Noto Sans CJK JP" w:hAnsi="Noto Sans CJK JP" w:eastAsia="Noto Sans CJK JP" w:cs="Noto Sans CJK JP"/>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Noto Sans CJK JP" w:hAnsi="Noto Sans CJK JP" w:eastAsia="Noto Sans CJK JP" w:cs="Noto Sans CJK JP"/>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Noto Sans CJK JP" w:hAnsi="Noto Sans CJK JP" w:eastAsia="Noto Sans CJK JP" w:cs="Noto Sans CJK JP"/>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ascii="Noto Sans CJK JP" w:hAnsi="Noto Sans CJK JP" w:eastAsia="Noto Sans CJK JP" w:cs="Noto Sans CJK JP"/>
        <w:b/>
        <w:bCs/>
      </w:rPr>
    </w:tblStylePr>
    <w:tblStylePr w:type="lastCol">
      <w:rPr>
        <w:rFonts w:asciiTheme="majorHAnsi" w:eastAsiaTheme="majorEastAsia" w:hAnsiTheme="majorHAnsi" w:cstheme="majorBidi" w:ascii="Noto Sans CJK JP" w:hAnsi="Noto Sans CJK JP" w:eastAsia="Noto Sans CJK JP" w:cs="Noto Sans CJK JP"/>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ascii="Noto Sans CJK JP" w:hAnsi="Noto Sans CJK JP" w:eastAsia="Noto Sans CJK JP" w:cs="Noto Sans CJK JP"/>
        <w:b/>
        <w:bCs/>
      </w:rPr>
    </w:tblStylePr>
    <w:tblStylePr w:type="lastCol">
      <w:rPr>
        <w:rFonts w:asciiTheme="majorHAnsi" w:eastAsiaTheme="majorEastAsia" w:hAnsiTheme="majorHAnsi" w:cstheme="majorBidi" w:ascii="Noto Sans CJK JP" w:hAnsi="Noto Sans CJK JP" w:eastAsia="Noto Sans CJK JP" w:cs="Noto Sans CJK JP"/>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ascii="Noto Sans CJK JP" w:hAnsi="Noto Sans CJK JP" w:eastAsia="Noto Sans CJK JP" w:cs="Noto Sans CJK JP"/>
        <w:b/>
        <w:bCs/>
      </w:rPr>
    </w:tblStylePr>
    <w:tblStylePr w:type="lastCol">
      <w:rPr>
        <w:rFonts w:asciiTheme="majorHAnsi" w:eastAsiaTheme="majorEastAsia" w:hAnsiTheme="majorHAnsi" w:cstheme="majorBidi" w:ascii="Noto Sans CJK JP" w:hAnsi="Noto Sans CJK JP" w:eastAsia="Noto Sans CJK JP" w:cs="Noto Sans CJK JP"/>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ascii="Noto Sans CJK JP" w:hAnsi="Noto Sans CJK JP" w:eastAsia="Noto Sans CJK JP" w:cs="Noto Sans CJK JP"/>
        <w:b/>
        <w:bCs/>
      </w:rPr>
    </w:tblStylePr>
    <w:tblStylePr w:type="lastCol">
      <w:rPr>
        <w:rFonts w:asciiTheme="majorHAnsi" w:eastAsiaTheme="majorEastAsia" w:hAnsiTheme="majorHAnsi" w:cstheme="majorBidi" w:ascii="Noto Sans CJK JP" w:hAnsi="Noto Sans CJK JP" w:eastAsia="Noto Sans CJK JP" w:cs="Noto Sans CJK JP"/>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ascii="Noto Sans CJK JP" w:hAnsi="Noto Sans CJK JP" w:eastAsia="Noto Sans CJK JP" w:cs="Noto Sans CJK JP"/>
        <w:b/>
        <w:bCs/>
      </w:rPr>
    </w:tblStylePr>
    <w:tblStylePr w:type="lastCol">
      <w:rPr>
        <w:rFonts w:asciiTheme="majorHAnsi" w:eastAsiaTheme="majorEastAsia" w:hAnsiTheme="majorHAnsi" w:cstheme="majorBidi" w:ascii="Noto Sans CJK JP" w:hAnsi="Noto Sans CJK JP" w:eastAsia="Noto Sans CJK JP" w:cs="Noto Sans CJK JP"/>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ascii="Noto Sans CJK JP" w:hAnsi="Noto Sans CJK JP" w:eastAsia="Noto Sans CJK JP" w:cs="Noto Sans CJK JP"/>
        <w:b/>
        <w:bCs/>
      </w:rPr>
    </w:tblStylePr>
    <w:tblStylePr w:type="lastCol">
      <w:rPr>
        <w:rFonts w:asciiTheme="majorHAnsi" w:eastAsiaTheme="majorEastAsia" w:hAnsiTheme="majorHAnsi" w:cstheme="majorBidi" w:ascii="Noto Sans CJK JP" w:hAnsi="Noto Sans CJK JP" w:eastAsia="Noto Sans CJK JP" w:cs="Noto Sans CJK JP"/>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ascii="Noto Sans CJK JP" w:hAnsi="Noto Sans CJK JP" w:eastAsia="Noto Sans CJK JP" w:cs="Noto Sans CJK JP"/>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ascii="Noto Sans CJK JP" w:hAnsi="Noto Sans CJK JP" w:eastAsia="Noto Sans CJK JP" w:cs="Noto Sans CJK JP"/>
        <w:b/>
        <w:bCs/>
      </w:rPr>
    </w:tblStylePr>
    <w:tblStylePr w:type="lastCol">
      <w:rPr>
        <w:rFonts w:asciiTheme="majorHAnsi" w:eastAsiaTheme="majorEastAsia" w:hAnsiTheme="majorHAnsi" w:cstheme="majorBidi" w:ascii="Noto Sans CJK JP" w:hAnsi="Noto Sans CJK JP" w:eastAsia="Noto Sans CJK JP" w:cs="Noto Sans CJK JP"/>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ascii="Noto Sans CJK JP" w:hAnsi="Noto Sans CJK JP" w:eastAsia="Noto Sans CJK JP" w:cs="Noto Sans CJK JP"/>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ascii="Noto Sans CJK JP" w:hAnsi="Noto Sans CJK JP" w:eastAsia="Noto Sans CJK JP" w:cs="Noto Sans CJK JP"/>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ascii="Noto Sans CJK JP" w:hAnsi="Noto Sans CJK JP" w:eastAsia="Noto Sans CJK JP" w:cs="Noto Sans CJK JP"/>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ascii="Noto Sans CJK JP" w:hAnsi="Noto Sans CJK JP" w:eastAsia="Noto Sans CJK JP" w:cs="Noto Sans CJK JP"/>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ascii="Noto Sans CJK JP" w:hAnsi="Noto Sans CJK JP" w:eastAsia="Noto Sans CJK JP" w:cs="Noto Sans CJK JP"/>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ascii="Noto Sans CJK JP" w:hAnsi="Noto Sans CJK JP" w:eastAsia="Noto Sans CJK JP" w:cs="Noto Sans CJK JP"/>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ascii="Noto Sans CJK JP" w:hAnsi="Noto Sans CJK JP" w:eastAsia="Noto Sans CJK JP" w:cs="Noto Sans CJK JP"/>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Noto Sans CJK JP" w:hAnsi="Noto Sans CJK JP" w:eastAsia="Noto Sans CJK JP" w:cs="Noto Sans CJK JP"/>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Noto Sans CJK JP" w:hAnsi="Noto Sans CJK JP" w:eastAsia="Noto Sans CJK JP" w:cs="Noto Sans CJK JP"/>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