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snapToGrid w:val="0"/>
        <w:spacing w:line="480" w:lineRule="exact" w:after="90"/>
        <w:pStyle w:val="Title"/>
        <w:keepNext/>
      </w:pPr>
      <w:r>
        <w:rPr>
          <w:rFonts w:ascii="Calibri" w:hAnsi="Calibri" w:eastAsia="Calibri" w:cs="Calibri"/>
          <w:b/>
          <w:color w:val="000000"/>
          <w:sz w:val="40"/>
        </w:rPr>
        <w:t xml:space="preserve">USHC Smart Contract Technical Verification Report</w:t>
      </w:r>
    </w:p>
    <w:p>
      <w:pPr>
        <w:jc w:val="center"/>
        <w:snapToGrid w:val="0"/>
        <w:spacing w:line="300" w:lineRule="exact" w:after="90"/>
      </w:pPr>
      <w:r>
        <w:rPr>
          <w:rFonts w:ascii="Calibri" w:hAnsi="Calibri" w:eastAsia="Calibri" w:cs="Calibri"/>
          <w:color w:val="5A5A5A"/>
          <w:sz w:val="22"/>
        </w:rPr>
        <w:t xml:space="preserve">For exchange listing due diligence · Preliminary verification based on source code</w:t>
      </w:r>
    </w:p>
    <w:p>
      <w:pPr>
        <w:snapToGrid w:val="0"/>
      </w:pPr>
    </w:p>
    <w:tbl>
      <w:tblPr>
        <w:tblW w:type="auto" w:w="0"/>
        <w:jc w:val="center"/>
        <w:tblLayout w:type="fixed"/>
        <w:tblLook w:firstColumn="1" w:firstRow="1" w:lastColumn="0" w:lastRow="0" w:noHBand="0" w:noVBand="1" w:val="04A0"/>
      </w:tblPr>
      <w:tblGrid>
        <w:gridCol w:w="2551"/>
        <w:gridCol w:w="6803"/>
      </w:tblGrid>
      <w:tr>
        <w:tc>
          <w:tcPr>
            <w:tcW w:type="dxa" w:w="4986"/>
            <w:shd w:fill="D9EAF7"/>
            <w:vAlign w:val="center"/>
            <w:tcMar>
              <w:top w:w="120" w:type="dxa"/>
              <w:start w:w="120" w:type="dxa"/>
              <w:bottom w:w="120" w:type="dxa"/>
              <w:end w:w="120" w:type="dxa"/>
            </w:tcMar>
          </w:tcPr>
          <w:p>
            <w:r>
              <w:rPr>
                <w:rFonts w:ascii="Calibri" w:hAnsi="Calibri" w:eastAsia="Calibri" w:cs="Calibri"/>
                <w:b/>
                <w:sz w:val="19"/>
              </w:rPr>
              <w:t xml:space="preserve">Token</w:t>
            </w:r>
            <w:pPr>
              <w:snapToGrid w:val="0"/>
              <w:spacing w:line="300" w:lineRule="exact" w:after="90"/>
            </w:pPr>
          </w:p>
        </w:tc>
        <w:tc>
          <w:tcPr>
            <w:tcW w:type="dxa" w:w="4986"/>
            <w:vAlign w:val="center"/>
            <w:tcMar>
              <w:top w:w="120" w:type="dxa"/>
              <w:start w:w="120" w:type="dxa"/>
              <w:bottom w:w="120" w:type="dxa"/>
              <w:end w:w="120" w:type="dxa"/>
            </w:tcMar>
          </w:tcPr>
          <w:p>
            <w:r>
              <w:rPr>
                <w:rFonts w:ascii="Calibri" w:hAnsi="Calibri" w:eastAsia="Calibri" w:cs="Calibri"/>
                <w:sz w:val="19"/>
              </w:rPr>
              <w:t>USHC / USHCToken</w:t>
            </w:r>
            <w:pPr>
              <w:snapToGrid w:val="0"/>
              <w:spacing w:line="300" w:lineRule="exact" w:after="90"/>
            </w:pPr>
          </w:p>
        </w:tc>
        <w:trPr>
          <w:cantSplit/>
          <w:tblHeader/>
        </w:trPr>
      </w:tr>
      <w:tr>
        <w:tc>
          <w:tcPr>
            <w:tcW w:type="dxa" w:w="2551"/>
            <w:shd w:fill="D9EAF7"/>
            <w:vAlign w:val="center"/>
            <w:tcMar>
              <w:top w:w="120" w:type="dxa"/>
              <w:start w:w="120" w:type="dxa"/>
              <w:bottom w:w="120" w:type="dxa"/>
              <w:end w:w="120" w:type="dxa"/>
            </w:tcMar>
          </w:tcPr>
          <w:p>
            <w:r>
              <w:rPr>
                <w:rFonts w:ascii="Calibri" w:hAnsi="Calibri" w:eastAsia="Calibri" w:cs="Calibri"/>
                <w:b/>
                <w:sz w:val="19"/>
              </w:rPr>
              <w:t xml:space="preserve">Network</w:t>
            </w:r>
            <w:pPr>
              <w:snapToGrid w:val="0"/>
              <w:spacing w:line="300" w:lineRule="exact" w:after="90"/>
            </w:pPr>
          </w:p>
        </w:tc>
        <w:tc>
          <w:tcPr>
            <w:tcW w:type="dxa" w:w="6803"/>
            <w:vAlign w:val="center"/>
            <w:tcMar>
              <w:top w:w="120" w:type="dxa"/>
              <w:start w:w="120" w:type="dxa"/>
              <w:bottom w:w="120" w:type="dxa"/>
              <w:end w:w="120" w:type="dxa"/>
            </w:tcMar>
          </w:tcPr>
          <w:p>
            <w:r>
              <w:rPr>
                <w:rFonts w:ascii="Calibri" w:hAnsi="Calibri" w:eastAsia="Calibri" w:cs="Calibri"/>
                <w:sz w:val="19"/>
              </w:rPr>
              <w:t>Ethereum</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Calibri" w:hAnsi="Calibri" w:eastAsia="Calibri" w:cs="Calibri"/>
                <w:b/>
                <w:sz w:val="19"/>
              </w:rPr>
              <w:t xml:space="preserve">Standard</w:t>
            </w:r>
            <w:pPr>
              <w:snapToGrid w:val="0"/>
              <w:spacing w:line="300" w:lineRule="exact" w:after="90"/>
            </w:pPr>
          </w:p>
        </w:tc>
        <w:tc>
          <w:tcPr>
            <w:tcW w:type="dxa" w:w="6803"/>
            <w:vAlign w:val="center"/>
            <w:tcMar>
              <w:top w:w="120" w:type="dxa"/>
              <w:start w:w="120" w:type="dxa"/>
              <w:bottom w:w="120" w:type="dxa"/>
              <w:end w:w="120" w:type="dxa"/>
            </w:tcMar>
          </w:tcPr>
          <w:p>
            <w:r>
              <w:rPr>
                <w:rFonts w:ascii="Calibri" w:hAnsi="Calibri" w:eastAsia="Calibri" w:cs="Calibri"/>
                <w:sz w:val="19"/>
              </w:rPr>
              <w:t>ERC-20</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Calibri" w:hAnsi="Calibri" w:eastAsia="Calibri" w:cs="Calibri"/>
                <w:b/>
                <w:sz w:val="19"/>
              </w:rPr>
              <w:t xml:space="preserve">Official contract</w:t>
            </w:r>
            <w:pPr>
              <w:snapToGrid w:val="0"/>
              <w:spacing w:line="300" w:lineRule="exact" w:after="90"/>
            </w:pPr>
          </w:p>
        </w:tc>
        <w:tc>
          <w:tcPr>
            <w:tcW w:type="dxa" w:w="6803"/>
            <w:vAlign w:val="center"/>
            <w:tcMar>
              <w:top w:w="120" w:type="dxa"/>
              <w:start w:w="120" w:type="dxa"/>
              <w:bottom w:w="120" w:type="dxa"/>
              <w:end w:w="120" w:type="dxa"/>
            </w:tcMar>
          </w:tcPr>
          <w:p>
            <w:r>
              <w:rPr>
                <w:rFonts w:ascii="Calibri" w:hAnsi="Calibri" w:eastAsia="Calibri" w:cs="Calibri"/>
                <w:sz w:val="19"/>
              </w:rPr>
              <w:t>0x7176fa45cd326d122b33d97d67a8b55d747411e8</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Calibri" w:hAnsi="Calibri" w:eastAsia="Calibri" w:cs="Calibri"/>
                <w:b/>
                <w:sz w:val="19"/>
              </w:rPr>
              <w:t xml:space="preserve">Compiler</w:t>
            </w:r>
            <w:pPr>
              <w:snapToGrid w:val="0"/>
              <w:spacing w:line="300" w:lineRule="exact" w:after="90"/>
            </w:pPr>
          </w:p>
        </w:tc>
        <w:tc>
          <w:tcPr>
            <w:tcW w:type="dxa" w:w="6803"/>
            <w:vAlign w:val="center"/>
            <w:tcMar>
              <w:top w:w="120" w:type="dxa"/>
              <w:start w:w="120" w:type="dxa"/>
              <w:bottom w:w="120" w:type="dxa"/>
              <w:end w:w="120" w:type="dxa"/>
            </w:tcMar>
          </w:tcPr>
          <w:p>
            <w:r>
              <w:rPr>
                <w:rFonts w:ascii="Calibri" w:hAnsi="Calibri" w:eastAsia="Calibri" w:cs="Calibri"/>
                <w:sz w:val="19"/>
              </w:rPr>
              <w:t>Solidity ^0.4.24</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Calibri" w:hAnsi="Calibri" w:eastAsia="Calibri" w:cs="Calibri"/>
                <w:b/>
                <w:sz w:val="19"/>
              </w:rPr>
              <w:t>Decimals</w:t>
            </w:r>
            <w:pPr>
              <w:snapToGrid w:val="0"/>
              <w:spacing w:line="300" w:lineRule="exact" w:after="90"/>
            </w:pPr>
          </w:p>
        </w:tc>
        <w:tc>
          <w:tcPr>
            <w:tcW w:type="dxa" w:w="6803"/>
            <w:vAlign w:val="center"/>
            <w:tcMar>
              <w:top w:w="120" w:type="dxa"/>
              <w:start w:w="120" w:type="dxa"/>
              <w:bottom w:w="120" w:type="dxa"/>
              <w:end w:w="120" w:type="dxa"/>
            </w:tcMar>
          </w:tcPr>
          <w:p>
            <w:r>
              <w:rPr>
                <w:rFonts w:ascii="Calibri" w:hAnsi="Calibri" w:eastAsia="Calibri" w:cs="Calibri"/>
                <w:sz w:val="19"/>
              </w:rPr>
              <w:t>18</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Calibri" w:hAnsi="Calibri" w:eastAsia="Calibri" w:cs="Calibri"/>
                <w:b/>
                <w:sz w:val="19"/>
              </w:rPr>
              <w:t xml:space="preserve">Target total supply</w:t>
            </w:r>
            <w:pPr>
              <w:snapToGrid w:val="0"/>
              <w:spacing w:line="300" w:lineRule="exact" w:after="90"/>
            </w:pPr>
          </w:p>
        </w:tc>
        <w:tc>
          <w:tcPr>
            <w:tcW w:type="dxa" w:w="6803"/>
            <w:vAlign w:val="center"/>
            <w:tcMar>
              <w:top w:w="120" w:type="dxa"/>
              <w:start w:w="120" w:type="dxa"/>
              <w:bottom w:w="120" w:type="dxa"/>
              <w:end w:w="120" w:type="dxa"/>
            </w:tcMar>
          </w:tcPr>
          <w:p>
            <w:r>
              <w:rPr>
                <w:rFonts w:ascii="Calibri" w:hAnsi="Calibri" w:eastAsia="Calibri" w:cs="Calibri"/>
                <w:sz w:val="19"/>
              </w:rPr>
              <w:t>125,000,000 USHC</w:t>
            </w:r>
            <w:pPr>
              <w:snapToGrid w:val="0"/>
              <w:spacing w:line="300" w:lineRule="exact" w:after="90"/>
            </w:pPr>
          </w:p>
        </w:tc>
        <w:trPr>
          <w:cantSplit/>
        </w:trPr>
      </w:tr>
      <w:tr>
        <w:tc>
          <w:tcPr>
            <w:tcW w:type="dxa" w:w="2551"/>
            <w:shd w:fill="D9EAD3"/>
            <w:tcMar>
              <w:top w:w="120" w:type="dxa"/>
              <w:start w:w="120" w:type="dxa"/>
              <w:bottom w:w="120" w:type="dxa"/>
              <w:end w:w="120" w:type="dxa"/>
            </w:tcMar>
            <w:vAlign w:val="center"/>
          </w:tcPr>
          <w:p>
            <w:r>
              <w:rPr>
                <w:rFonts w:ascii="Calibri" w:hAnsi="Calibri" w:eastAsia="Calibri" w:cs="Calibri"/>
                <w:b/>
                <w:sz w:val="19"/>
              </w:rPr>
              <w:t xml:space="preserve">Key conclusion</w:t>
            </w:r>
            <w:pPr>
              <w:snapToGrid w:val="0"/>
              <w:spacing w:line="300" w:lineRule="exact" w:after="90"/>
            </w:pPr>
          </w:p>
        </w:tc>
        <w:tc>
          <w:tcPr>
            <w:tcW w:type="dxa" w:w="6803"/>
            <w:shd w:fill="EAF4E5"/>
            <w:tcMar>
              <w:top w:w="120" w:type="dxa"/>
              <w:start w:w="120" w:type="dxa"/>
              <w:bottom w:w="120" w:type="dxa"/>
              <w:end w:w="120" w:type="dxa"/>
            </w:tcMar>
            <w:vAlign w:val="center"/>
          </w:tcPr>
          <w:p>
            <w:r>
              <w:rPr>
                <w:rFonts w:ascii="Calibri" w:hAnsi="Calibri" w:eastAsia="Calibri" w:cs="Calibri"/>
                <w:b/>
                <w:sz w:val="19"/>
              </w:rPr>
              <w:t xml:space="preserve">Based on the supplied source code: No additional minting function / Supply cannot increase and can decrease only through burning</w:t>
            </w:r>
            <w:pPr>
              <w:snapToGrid w:val="0"/>
              <w:spacing w:line="300" w:lineRule="exact" w:after="90"/>
            </w:pPr>
          </w:p>
        </w:tc>
        <w:trPr>
          <w:cantSplit/>
        </w:trPr>
      </w:tr>
    </w:tbl>
    <w:p>
      <w:pPr>
        <w:snapToGrid w:val="0"/>
      </w:pPr>
    </w:p>
    <w:p>
      <w:pPr>
        <w:pStyle w:val="Heading1"/>
        <w:snapToGrid w:val="0"/>
        <w:spacing w:line="300" w:lineRule="exact" w:after="90"/>
      </w:pPr>
      <w:r>
        <w:rPr>
          <w:rFonts w:ascii="Calibri" w:hAnsi="Calibri" w:eastAsia="Calibri" w:cs="Calibri"/>
        </w:rPr>
        <w:t xml:space="preserve">1. Verification scope and assumptions</w:t>
      </w:r>
    </w:p>
    <w:p>
      <w:r>
        <w:rPr>
          <w:rFonts w:ascii="Calibri" w:hAnsi="Calibri" w:eastAsia="Calibri" w:cs="Calibri"/>
        </w:rPr>
        <w:t xml:space="preserve">This report presents the results of a static review of the Solidity source code supplied by the user (pragma solidity ^0.4.24). This document does not itself prove that the bytecode deployed on the Ethereum mainnet matches that source code. Etherscan Source Code Verification or equivalent bytecode verification is required before submission to an exchange.</w:t>
      </w:r>
      <w:pPr>
        <w:snapToGrid w:val="0"/>
        <w:spacing w:line="300" w:lineRule="exact" w:after="90"/>
      </w:pPr>
    </w:p>
    <w:p>
      <w:r>
        <w:rPr>
          <w:rFonts w:ascii="Calibri" w:hAnsi="Calibri" w:eastAsia="Calibri" w:cs="Calibri"/>
        </w:rPr>
        <w:t xml:space="preserve">The total supply of 125,000,000 USHC assumes that the constructor's initialSupply argument was set to 125,000,000 at deployment. The actual deployed value must be confirmed through the on-chain totalSupply() function.</w:t>
      </w:r>
      <w:pPr>
        <w:snapToGrid w:val="0"/>
        <w:spacing w:line="300" w:lineRule="exact" w:after="90"/>
      </w:pPr>
    </w:p>
    <w:p>
      <w:pPr>
        <w:pStyle w:val="Heading1"/>
        <w:snapToGrid w:val="0"/>
        <w:spacing w:line="300" w:lineRule="exact" w:after="90"/>
      </w:pPr>
      <w:r>
        <w:rPr>
          <w:rFonts w:ascii="Calibri" w:hAnsi="Calibri" w:eastAsia="Calibri" w:cs="Calibri"/>
        </w:rPr>
        <w:t xml:space="preserve">2. Possibility of additional minting</w:t>
      </w:r>
    </w:p>
    <w:p>
      <w:r>
        <w:rPr>
          <w:rFonts w:ascii="Calibri" w:hAnsi="Calibri" w:eastAsia="Calibri" w:cs="Calibri"/>
        </w:rPr>
        <w:t xml:space="preserve">Conclusion: The supplied code contains no mint(), _mint(), issue(), createToken(), or external/public function that increases both totalSupply_ and balances simultaneously. Accordingly, the code provides no path for minting additional USHC after deployment.</w:t>
      </w:r>
      <w:pPr>
        <w:snapToGrid w:val="0"/>
        <w:spacing w:line="300" w:lineRule="exact" w:after="90"/>
      </w:pPr>
    </w:p>
    <w:p>
      <w:pPr>
        <w:pStyle w:val="ListBullet"/>
        <w:snapToGrid w:val="0"/>
        <w:spacing w:line="300" w:lineRule="exact" w:after="90"/>
      </w:pPr>
      <w:r>
        <w:rPr>
          <w:rFonts w:ascii="Calibri" w:hAnsi="Calibri" w:eastAsia="Calibri" w:cs="Calibri"/>
          <w:sz w:val="20"/>
        </w:rPr>
        <w:t xml:space="preserve">The initial supply is created once when the constructor executes: totalSupply_ = initialSupply × 10^18.</w:t>
      </w:r>
    </w:p>
    <w:p>
      <w:pPr>
        <w:pStyle w:val="ListBullet"/>
        <w:snapToGrid w:val="0"/>
        <w:spacing w:line="300" w:lineRule="exact" w:after="90"/>
      </w:pPr>
      <w:r>
        <w:rPr>
          <w:rFonts w:ascii="Calibri" w:hAnsi="Calibri" w:eastAsia="Calibri" w:cs="Calibri"/>
          <w:sz w:val="20"/>
        </w:rPr>
        <w:t xml:space="preserve">transfer and transferFrom only move existing balances and do not increase total supply.</w:t>
      </w:r>
    </w:p>
    <w:p>
      <w:pPr>
        <w:pStyle w:val="ListBullet"/>
        <w:snapToGrid w:val="0"/>
        <w:spacing w:line="300" w:lineRule="exact" w:after="90"/>
      </w:pPr>
      <w:r>
        <w:rPr>
          <w:rFonts w:ascii="Calibri" w:hAnsi="Calibri" w:eastAsia="Calibri" w:cs="Calibri"/>
          <w:sz w:val="20"/>
        </w:rPr>
        <w:t xml:space="preserve">burn reduces both the owner's balance and totalSupply_, so it can only decrease supply.</w:t>
      </w:r>
    </w:p>
    <w:p>
      <w:pPr>
        <w:pStyle w:val="ListBullet"/>
        <w:snapToGrid w:val="0"/>
        <w:spacing w:line="300" w:lineRule="exact" w:after="90"/>
      </w:pPr>
      <w:r>
        <w:rPr>
          <w:rFonts w:ascii="Calibri" w:hAnsi="Calibri" w:eastAsia="Calibri" w:cs="Calibri"/>
          <w:sz w:val="20"/>
        </w:rPr>
        <w:t xml:space="preserve">No upgrade mechanisms such as Proxy, delegatecall, or upgradeTo are apparent. A structure allowing this code to be replaced after deployment with mint-capable logic has therefore not been identified.</w:t>
      </w:r>
    </w:p>
    <w:p>
      <w:pPr>
        <w:pStyle w:val="Heading1"/>
        <w:snapToGrid w:val="0"/>
        <w:spacing w:line="300" w:lineRule="exact" w:after="90"/>
      </w:pPr>
      <w:r>
        <w:rPr>
          <w:rFonts w:ascii="Calibri" w:hAnsi="Calibri" w:eastAsia="Calibri" w:cs="Calibri"/>
        </w:rPr>
        <w:t xml:space="preserve">3. Owner privileges and administrator risks</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381"/>
            <w:shd w:fill="D9EAF7"/>
            <w:tcMar>
              <w:top w:w="120" w:type="dxa"/>
              <w:start w:w="120" w:type="dxa"/>
              <w:bottom w:w="120" w:type="dxa"/>
              <w:end w:w="120" w:type="dxa"/>
            </w:tcMar>
          </w:tcPr>
          <w:p>
            <w:r>
              <w:rPr>
                <w:rFonts w:ascii="Calibri" w:hAnsi="Calibri" w:eastAsia="Calibri" w:cs="Calibri"/>
                <w:b/>
                <w:sz w:val="18"/>
              </w:rPr>
              <w:t xml:space="preserve">Function</w:t>
            </w:r>
            <w:pPr>
              <w:snapToGrid w:val="0"/>
              <w:spacing w:line="300" w:lineRule="exact" w:after="90"/>
            </w:pPr>
          </w:p>
        </w:tc>
        <w:tc>
          <w:tcPr>
            <w:tcW w:type="dxa" w:w="1984"/>
            <w:shd w:fill="D9EAF7"/>
            <w:tcMar>
              <w:top w:w="120" w:type="dxa"/>
              <w:start w:w="120" w:type="dxa"/>
              <w:bottom w:w="120" w:type="dxa"/>
              <w:end w:w="120" w:type="dxa"/>
            </w:tcMar>
          </w:tcPr>
          <w:p>
            <w:r>
              <w:rPr>
                <w:rFonts w:ascii="Calibri" w:hAnsi="Calibri" w:eastAsia="Calibri" w:cs="Calibri"/>
                <w:b/>
                <w:sz w:val="18"/>
              </w:rPr>
              <w:t xml:space="preserve">Authorization</w:t>
            </w:r>
            <w:pPr>
              <w:snapToGrid w:val="0"/>
              <w:spacing w:line="300" w:lineRule="exact" w:after="90"/>
            </w:pPr>
          </w:p>
        </w:tc>
        <w:tc>
          <w:tcPr>
            <w:tcW w:type="dxa" w:w="1984"/>
            <w:shd w:fill="D9EAF7"/>
            <w:tcMar>
              <w:top w:w="120" w:type="dxa"/>
              <w:start w:w="120" w:type="dxa"/>
              <w:bottom w:w="120" w:type="dxa"/>
              <w:end w:w="120" w:type="dxa"/>
            </w:tcMar>
          </w:tcPr>
          <w:p>
            <w:r>
              <w:rPr>
                <w:rFonts w:ascii="Calibri" w:hAnsi="Calibri" w:eastAsia="Calibri" w:cs="Calibri"/>
                <w:b/>
                <w:sz w:val="18"/>
              </w:rPr>
              <w:t xml:space="preserve">Supply impact</w:t>
            </w:r>
            <w:pPr>
              <w:snapToGrid w:val="0"/>
              <w:spacing w:line="300" w:lineRule="exact" w:after="90"/>
            </w:pPr>
          </w:p>
        </w:tc>
        <w:tc>
          <w:tcPr>
            <w:tcW w:type="dxa" w:w="3118"/>
            <w:shd w:fill="D9EAF7"/>
            <w:tcMar>
              <w:top w:w="120" w:type="dxa"/>
              <w:start w:w="120" w:type="dxa"/>
              <w:bottom w:w="120" w:type="dxa"/>
              <w:end w:w="120" w:type="dxa"/>
            </w:tcMar>
          </w:tcPr>
          <w:p>
            <w:r>
              <w:rPr>
                <w:rFonts w:ascii="Calibri" w:hAnsi="Calibri" w:eastAsia="Calibri" w:cs="Calibri"/>
                <w:b/>
                <w:sz w:val="18"/>
              </w:rPr>
              <w:t xml:space="preserve">Assessment</w:t>
            </w:r>
            <w:pPr>
              <w:snapToGrid w:val="0"/>
              <w:spacing w:line="300" w:lineRule="exact" w:after="90"/>
            </w:pPr>
          </w:p>
        </w:tc>
        <w:trPr>
          <w:cantSplit/>
          <w:tblHeader/>
        </w:trPr>
      </w:tr>
      <w:tr>
        <w:tc>
          <w:tcPr>
            <w:tcW w:type="dxa" w:w="2381"/>
            <w:tcMar>
              <w:top w:w="120" w:type="dxa"/>
              <w:start w:w="120" w:type="dxa"/>
              <w:bottom w:w="120" w:type="dxa"/>
              <w:end w:w="120" w:type="dxa"/>
            </w:tcMar>
          </w:tcPr>
          <w:p>
            <w:r>
              <w:rPr>
                <w:rFonts w:ascii="Calibri" w:hAnsi="Calibri" w:eastAsia="Calibri" w:cs="Calibri"/>
                <w:sz w:val="17"/>
              </w:rPr>
              <w:t>transfer / transferFrom</w:t>
            </w:r>
            <w:pPr>
              <w:snapToGrid w:val="0"/>
              <w:spacing w:line="300" w:lineRule="exact" w:after="90"/>
            </w:pPr>
          </w:p>
        </w:tc>
        <w:tc>
          <w:tcPr>
            <w:tcW w:type="dxa" w:w="1984"/>
            <w:tcMar>
              <w:top w:w="120" w:type="dxa"/>
              <w:start w:w="120" w:type="dxa"/>
              <w:bottom w:w="120" w:type="dxa"/>
              <w:end w:w="120" w:type="dxa"/>
            </w:tcMar>
          </w:tcPr>
          <w:p>
            <w:r>
              <w:rPr>
                <w:rFonts w:ascii="Calibri" w:hAnsi="Calibri" w:eastAsia="Calibri" w:cs="Calibri"/>
                <w:sz w:val="17"/>
              </w:rPr>
              <w:t xml:space="preserve">All holders / Approved spenders</w:t>
            </w:r>
            <w:pPr>
              <w:snapToGrid w:val="0"/>
              <w:spacing w:line="300" w:lineRule="exact" w:after="90"/>
            </w:pPr>
          </w:p>
        </w:tc>
        <w:tc>
          <w:tcPr>
            <w:tcW w:type="dxa" w:w="1984"/>
            <w:tcMar>
              <w:top w:w="120" w:type="dxa"/>
              <w:start w:w="120" w:type="dxa"/>
              <w:bottom w:w="120" w:type="dxa"/>
              <w:end w:w="120" w:type="dxa"/>
            </w:tcMar>
          </w:tcPr>
          <w:p>
            <w:r>
              <w:rPr>
                <w:rFonts w:ascii="Calibri" w:hAnsi="Calibri" w:eastAsia="Calibri" w:cs="Calibri"/>
                <w:sz w:val="17"/>
              </w:rPr>
              <w:t xml:space="preserve">No change</w:t>
            </w:r>
            <w:pPr>
              <w:snapToGrid w:val="0"/>
              <w:spacing w:line="300" w:lineRule="exact" w:after="90"/>
            </w:pPr>
          </w:p>
        </w:tc>
        <w:tc>
          <w:tcPr>
            <w:tcW w:type="dxa" w:w="3118"/>
            <w:tcMar>
              <w:top w:w="120" w:type="dxa"/>
              <w:start w:w="120" w:type="dxa"/>
              <w:bottom w:w="120" w:type="dxa"/>
              <w:end w:w="120" w:type="dxa"/>
            </w:tcMar>
          </w:tcPr>
          <w:p>
            <w:r>
              <w:rPr>
                <w:rFonts w:ascii="Calibri" w:hAnsi="Calibri" w:eastAsia="Calibri" w:cs="Calibri"/>
                <w:sz w:val="17"/>
              </w:rPr>
              <w:t xml:space="preserve">Standard ERC-20 functionality</w:t>
            </w:r>
            <w:pPr>
              <w:snapToGrid w:val="0"/>
              <w:spacing w:line="300" w:lineRule="exact" w:after="90"/>
            </w:pPr>
          </w:p>
        </w:tc>
        <w:trPr>
          <w:cantSplit/>
        </w:trPr>
      </w:tr>
      <w:tr>
        <w:tc>
          <w:tcPr>
            <w:tcW w:type="dxa" w:w="2381"/>
            <w:tcMar>
              <w:top w:w="120" w:type="dxa"/>
              <w:start w:w="120" w:type="dxa"/>
              <w:bottom w:w="120" w:type="dxa"/>
              <w:end w:w="120" w:type="dxa"/>
            </w:tcMar>
          </w:tcPr>
          <w:p>
            <w:r>
              <w:rPr>
                <w:rFonts w:ascii="Calibri" w:hAnsi="Calibri" w:eastAsia="Calibri" w:cs="Calibri"/>
                <w:sz w:val="17"/>
              </w:rPr>
              <w:t>burn</w:t>
            </w:r>
            <w:pPr>
              <w:snapToGrid w:val="0"/>
              <w:spacing w:line="300" w:lineRule="exact" w:after="90"/>
            </w:pPr>
          </w:p>
        </w:tc>
        <w:tc>
          <w:tcPr>
            <w:tcW w:type="dxa" w:w="1984"/>
            <w:tcMar>
              <w:top w:w="120" w:type="dxa"/>
              <w:start w:w="120" w:type="dxa"/>
              <w:bottom w:w="120" w:type="dxa"/>
              <w:end w:w="120" w:type="dxa"/>
            </w:tcMar>
          </w:tcPr>
          <w:p>
            <w:r>
              <w:rPr>
                <w:rFonts w:ascii="Calibri" w:hAnsi="Calibri" w:eastAsia="Calibri" w:cs="Calibri"/>
                <w:sz w:val="17"/>
              </w:rPr>
              <w:t xml:space="preserve">Owner only</w:t>
            </w:r>
            <w:pPr>
              <w:snapToGrid w:val="0"/>
              <w:spacing w:line="300" w:lineRule="exact" w:after="90"/>
            </w:pPr>
          </w:p>
        </w:tc>
        <w:tc>
          <w:tcPr>
            <w:tcW w:type="dxa" w:w="1984"/>
            <w:tcMar>
              <w:top w:w="120" w:type="dxa"/>
              <w:start w:w="120" w:type="dxa"/>
              <w:bottom w:w="120" w:type="dxa"/>
              <w:end w:w="120" w:type="dxa"/>
            </w:tcMar>
          </w:tcPr>
          <w:p>
            <w:r>
              <w:rPr>
                <w:rFonts w:ascii="Calibri" w:hAnsi="Calibri" w:eastAsia="Calibri" w:cs="Calibri"/>
                <w:sz w:val="17"/>
              </w:rPr>
              <w:t xml:space="preserve">Decrease</w:t>
            </w:r>
            <w:pPr>
              <w:snapToGrid w:val="0"/>
              <w:spacing w:line="300" w:lineRule="exact" w:after="90"/>
            </w:pPr>
          </w:p>
        </w:tc>
        <w:tc>
          <w:tcPr>
            <w:tcW w:type="dxa" w:w="3118"/>
            <w:tcMar>
              <w:top w:w="120" w:type="dxa"/>
              <w:start w:w="120" w:type="dxa"/>
              <w:bottom w:w="120" w:type="dxa"/>
              <w:end w:w="120" w:type="dxa"/>
            </w:tcMar>
          </w:tcPr>
          <w:p>
            <w:r>
              <w:rPr>
                <w:rFonts w:ascii="Calibri" w:hAnsi="Calibri" w:eastAsia="Calibri" w:cs="Calibri"/>
                <w:sz w:val="17"/>
              </w:rPr>
              <w:t xml:space="preserve">Unrelated to additional minting</w:t>
            </w:r>
            <w:pPr>
              <w:snapToGrid w:val="0"/>
              <w:spacing w:line="300" w:lineRule="exact" w:after="90"/>
            </w:pPr>
          </w:p>
        </w:tc>
        <w:trPr>
          <w:cantSplit/>
        </w:trPr>
      </w:tr>
      <w:tr>
        <w:tc>
          <w:tcPr>
            <w:tcW w:type="dxa" w:w="2381"/>
            <w:tcMar>
              <w:top w:w="120" w:type="dxa"/>
              <w:start w:w="120" w:type="dxa"/>
              <w:bottom w:w="120" w:type="dxa"/>
              <w:end w:w="120" w:type="dxa"/>
            </w:tcMar>
          </w:tcPr>
          <w:p>
            <w:r>
              <w:rPr>
                <w:rFonts w:ascii="Calibri" w:hAnsi="Calibri" w:eastAsia="Calibri" w:cs="Calibri"/>
                <w:sz w:val="17"/>
              </w:rPr>
              <w:t>transferOwnership</w:t>
            </w:r>
            <w:pPr>
              <w:snapToGrid w:val="0"/>
              <w:spacing w:line="300" w:lineRule="exact" w:after="90"/>
            </w:pPr>
          </w:p>
        </w:tc>
        <w:tc>
          <w:tcPr>
            <w:tcW w:type="dxa" w:w="1984"/>
            <w:tcMar>
              <w:top w:w="120" w:type="dxa"/>
              <w:start w:w="120" w:type="dxa"/>
              <w:bottom w:w="120" w:type="dxa"/>
              <w:end w:w="120" w:type="dxa"/>
            </w:tcMar>
          </w:tcPr>
          <w:p>
            <w:r>
              <w:rPr>
                <w:rFonts w:ascii="Calibri" w:hAnsi="Calibri" w:eastAsia="Calibri" w:cs="Calibri"/>
                <w:sz w:val="17"/>
              </w:rPr>
              <w:t xml:space="preserve">Owner only</w:t>
            </w:r>
            <w:pPr>
              <w:snapToGrid w:val="0"/>
              <w:spacing w:line="300" w:lineRule="exact" w:after="90"/>
            </w:pPr>
          </w:p>
        </w:tc>
        <w:tc>
          <w:tcPr>
            <w:tcW w:type="dxa" w:w="1984"/>
            <w:tcMar>
              <w:top w:w="120" w:type="dxa"/>
              <w:start w:w="120" w:type="dxa"/>
              <w:bottom w:w="120" w:type="dxa"/>
              <w:end w:w="120" w:type="dxa"/>
            </w:tcMar>
          </w:tcPr>
          <w:p>
            <w:r>
              <w:rPr>
                <w:rFonts w:ascii="Calibri" w:hAnsi="Calibri" w:eastAsia="Calibri" w:cs="Calibri"/>
                <w:sz w:val="17"/>
              </w:rPr>
              <w:t xml:space="preserve">No change</w:t>
            </w:r>
            <w:pPr>
              <w:snapToGrid w:val="0"/>
              <w:spacing w:line="300" w:lineRule="exact" w:after="90"/>
            </w:pPr>
          </w:p>
        </w:tc>
        <w:tc>
          <w:tcPr>
            <w:tcW w:type="dxa" w:w="3118"/>
            <w:tcMar>
              <w:top w:w="120" w:type="dxa"/>
              <w:start w:w="120" w:type="dxa"/>
              <w:bottom w:w="120" w:type="dxa"/>
              <w:end w:w="120" w:type="dxa"/>
            </w:tcMar>
          </w:tcPr>
          <w:p>
            <w:r>
              <w:rPr>
                <w:rFonts w:ascii="Calibri" w:hAnsi="Calibri" w:eastAsia="Calibri" w:cs="Calibri"/>
                <w:sz w:val="17"/>
              </w:rPr>
              <w:t xml:space="preserve">Administrative control can be transferred</w:t>
            </w:r>
            <w:pPr>
              <w:snapToGrid w:val="0"/>
              <w:spacing w:line="300" w:lineRule="exact" w:after="90"/>
            </w:pPr>
          </w:p>
        </w:tc>
        <w:trPr>
          <w:cantSplit/>
        </w:trPr>
      </w:tr>
      <w:tr>
        <w:tc>
          <w:tcPr>
            <w:tcW w:type="dxa" w:w="2381"/>
            <w:tcMar>
              <w:top w:w="120" w:type="dxa"/>
              <w:start w:w="120" w:type="dxa"/>
              <w:bottom w:w="120" w:type="dxa"/>
              <w:end w:w="120" w:type="dxa"/>
            </w:tcMar>
          </w:tcPr>
          <w:p>
            <w:r>
              <w:rPr>
                <w:rFonts w:ascii="Calibri" w:hAnsi="Calibri" w:eastAsia="Calibri" w:cs="Calibri"/>
                <w:sz w:val="17"/>
              </w:rPr>
              <w:t>Mint</w:t>
            </w:r>
            <w:pPr>
              <w:snapToGrid w:val="0"/>
              <w:spacing w:line="300" w:lineRule="exact" w:after="90"/>
            </w:pPr>
          </w:p>
        </w:tc>
        <w:tc>
          <w:tcPr>
            <w:tcW w:type="dxa" w:w="1984"/>
            <w:tcMar>
              <w:top w:w="120" w:type="dxa"/>
              <w:start w:w="120" w:type="dxa"/>
              <w:bottom w:w="120" w:type="dxa"/>
              <w:end w:w="120" w:type="dxa"/>
            </w:tcMar>
          </w:tcPr>
          <w:p>
            <w:r>
              <w:rPr>
                <w:rFonts w:ascii="Calibri" w:hAnsi="Calibri" w:eastAsia="Calibri" w:cs="Calibri"/>
                <w:sz w:val="17"/>
              </w:rPr>
              <w:t xml:space="preserve">No such function</w:t>
            </w:r>
            <w:pPr>
              <w:snapToGrid w:val="0"/>
              <w:spacing w:line="300" w:lineRule="exact" w:after="90"/>
            </w:pPr>
          </w:p>
        </w:tc>
        <w:tc>
          <w:tcPr>
            <w:tcW w:type="dxa" w:w="1984"/>
            <w:tcMar>
              <w:top w:w="120" w:type="dxa"/>
              <w:start w:w="120" w:type="dxa"/>
              <w:bottom w:w="120" w:type="dxa"/>
              <w:end w:w="120" w:type="dxa"/>
            </w:tcMar>
          </w:tcPr>
          <w:p>
            <w:r>
              <w:rPr>
                <w:rFonts w:ascii="Calibri" w:hAnsi="Calibri" w:eastAsia="Calibri" w:cs="Calibri"/>
                <w:sz w:val="17"/>
              </w:rPr>
              <w:t xml:space="preserve">Cannot increase</w:t>
            </w:r>
            <w:pPr>
              <w:snapToGrid w:val="0"/>
              <w:spacing w:line="300" w:lineRule="exact" w:after="90"/>
            </w:pPr>
          </w:p>
        </w:tc>
        <w:tc>
          <w:tcPr>
            <w:tcW w:type="dxa" w:w="3118"/>
            <w:tcMar>
              <w:top w:w="120" w:type="dxa"/>
              <w:start w:w="120" w:type="dxa"/>
              <w:bottom w:w="120" w:type="dxa"/>
              <w:end w:w="120" w:type="dxa"/>
            </w:tcMar>
          </w:tcPr>
          <w:p>
            <w:r>
              <w:rPr>
                <w:rFonts w:ascii="Calibri" w:hAnsi="Calibri" w:eastAsia="Calibri" w:cs="Calibri"/>
                <w:sz w:val="17"/>
              </w:rPr>
              <w:t>Non-Mintable</w:t>
            </w:r>
            <w:pPr>
              <w:snapToGrid w:val="0"/>
              <w:spacing w:line="300" w:lineRule="exact" w:after="90"/>
            </w:pPr>
          </w:p>
        </w:tc>
        <w:trPr>
          <w:cantSplit/>
        </w:trPr>
      </w:tr>
    </w:tbl>
    <w:p>
      <w:pPr>
        <w:snapToGrid w:val="0"/>
      </w:pPr>
    </w:p>
    <w:p>
      <w:r>
        <w:rPr>
          <w:rFonts w:ascii="Calibri" w:hAnsi="Calibri" w:eastAsia="Calibri" w:cs="Calibri"/>
        </w:rPr>
        <w:t xml:space="preserve">Caution: transferOwnership(address newOwner) does not check newOwner != address(0). If ownership is transferred to the 0x000…000 address, onlyOwner functions effectively become permanently unusable. This cannot be reversed and should be considered only after exchange due diligence and operating policies have been finalized.</w:t>
      </w:r>
      <w:pPr>
        <w:snapToGrid w:val="0"/>
        <w:spacing w:line="300" w:lineRule="exact" w:after="90"/>
      </w:pPr>
    </w:p>
    <w:p>
      <w:pPr>
        <w:pStyle w:val="Heading1"/>
        <w:snapToGrid w:val="0"/>
        <w:spacing w:line="300" w:lineRule="exact" w:after="90"/>
      </w:pPr>
      <w:r>
        <w:rPr>
          <w:rFonts w:ascii="Calibri" w:hAnsi="Calibri" w:eastAsia="Calibri" w:cs="Calibri"/>
        </w:rPr>
        <w:t xml:space="preserve">4. Recommended technical measures before listing</w:t>
      </w:r>
    </w:p>
    <w:tbl>
      <w:tblPr>
        <w:tblStyle w:val="TableGrid"/>
        <w:tblW w:type="auto" w:w="0"/>
        <w:jc w:val="center"/>
        <w:tblLook w:firstColumn="1" w:firstRow="1" w:lastColumn="0" w:lastRow="0" w:noHBand="0" w:noVBand="1" w:val="04A0"/>
      </w:tblPr>
      <w:tblGrid>
        <w:gridCol w:w="3324"/>
        <w:gridCol w:w="3324"/>
        <w:gridCol w:w="3324"/>
      </w:tblGrid>
      <w:tr>
        <w:tc>
          <w:tcPr>
            <w:tcW w:type="dxa" w:w="1134"/>
            <w:shd w:fill="D9EAF7"/>
            <w:tcMar>
              <w:top w:w="120" w:type="dxa"/>
              <w:start w:w="120" w:type="dxa"/>
              <w:bottom w:w="120" w:type="dxa"/>
              <w:end w:w="120" w:type="dxa"/>
            </w:tcMar>
          </w:tcPr>
          <w:p>
            <w:r>
              <w:rPr>
                <w:rFonts w:ascii="Calibri" w:hAnsi="Calibri" w:eastAsia="Calibri" w:cs="Calibri"/>
                <w:b/>
                <w:sz w:val="18"/>
              </w:rPr>
              <w:t xml:space="preserve">Priority</w:t>
            </w:r>
            <w:pPr>
              <w:snapToGrid w:val="0"/>
              <w:spacing w:line="300" w:lineRule="exact" w:after="90"/>
            </w:pPr>
          </w:p>
        </w:tc>
        <w:tc>
          <w:tcPr>
            <w:tcW w:type="dxa" w:w="3685"/>
            <w:shd w:fill="D9EAF7"/>
            <w:tcMar>
              <w:top w:w="120" w:type="dxa"/>
              <w:start w:w="120" w:type="dxa"/>
              <w:bottom w:w="120" w:type="dxa"/>
              <w:end w:w="120" w:type="dxa"/>
            </w:tcMar>
          </w:tcPr>
          <w:p>
            <w:r>
              <w:rPr>
                <w:rFonts w:ascii="Calibri" w:hAnsi="Calibri" w:eastAsia="Calibri" w:cs="Calibri"/>
                <w:b/>
                <w:sz w:val="18"/>
              </w:rPr>
              <w:t xml:space="preserve">Action</w:t>
            </w:r>
            <w:pPr>
              <w:snapToGrid w:val="0"/>
              <w:spacing w:line="300" w:lineRule="exact" w:after="90"/>
            </w:pPr>
          </w:p>
        </w:tc>
        <w:tc>
          <w:tcPr>
            <w:tcW w:type="dxa" w:w="4649"/>
            <w:shd w:fill="D9EAF7"/>
            <w:tcMar>
              <w:top w:w="120" w:type="dxa"/>
              <w:start w:w="120" w:type="dxa"/>
              <w:bottom w:w="120" w:type="dxa"/>
              <w:end w:w="120" w:type="dxa"/>
            </w:tcMar>
          </w:tcPr>
          <w:p>
            <w:r>
              <w:rPr>
                <w:rFonts w:ascii="Calibri" w:hAnsi="Calibri" w:eastAsia="Calibri" w:cs="Calibri"/>
                <w:b/>
                <w:sz w:val="18"/>
              </w:rPr>
              <w:t xml:space="preserve">Purpose</w:t>
            </w:r>
            <w:pPr>
              <w:snapToGrid w:val="0"/>
              <w:spacing w:line="300" w:lineRule="exact" w:after="90"/>
            </w:pPr>
          </w:p>
        </w:tc>
        <w:trPr>
          <w:cantSplit/>
          <w:tblHeader/>
        </w:trPr>
      </w:tr>
      <w:tr>
        <w:tc>
          <w:tcPr>
            <w:tcW w:type="dxa" w:w="1134"/>
            <w:tcMar>
              <w:top w:w="120" w:type="dxa"/>
              <w:start w:w="120" w:type="dxa"/>
              <w:bottom w:w="120" w:type="dxa"/>
              <w:end w:w="120" w:type="dxa"/>
            </w:tcMar>
          </w:tcPr>
          <w:p>
            <w:r>
              <w:rPr>
                <w:rFonts w:ascii="Calibri" w:hAnsi="Calibri" w:eastAsia="Calibri" w:cs="Calibri"/>
                <w:sz w:val="17"/>
              </w:rPr>
              <w:t xml:space="preserve">Required</w:t>
            </w:r>
            <w:pPr>
              <w:snapToGrid w:val="0"/>
              <w:spacing w:line="300" w:lineRule="exact" w:after="90"/>
            </w:pPr>
          </w:p>
        </w:tc>
        <w:tc>
          <w:tcPr>
            <w:tcW w:type="dxa" w:w="3685"/>
            <w:tcMar>
              <w:top w:w="120" w:type="dxa"/>
              <w:start w:w="120" w:type="dxa"/>
              <w:bottom w:w="120" w:type="dxa"/>
              <w:end w:w="120" w:type="dxa"/>
            </w:tcMar>
          </w:tcPr>
          <w:p>
            <w:r>
              <w:rPr>
                <w:rFonts w:ascii="Calibri" w:hAnsi="Calibri" w:eastAsia="Calibri" w:cs="Calibri"/>
                <w:sz w:val="17"/>
              </w:rPr>
              <w:t xml:space="preserve">Verify source code on Etherscan</w:t>
            </w:r>
            <w:pPr>
              <w:snapToGrid w:val="0"/>
              <w:spacing w:line="300" w:lineRule="exact" w:after="90"/>
            </w:pPr>
          </w:p>
        </w:tc>
        <w:tc>
          <w:tcPr>
            <w:tcW w:type="dxa" w:w="4649"/>
            <w:tcMar>
              <w:top w:w="120" w:type="dxa"/>
              <w:start w:w="120" w:type="dxa"/>
              <w:bottom w:w="120" w:type="dxa"/>
              <w:end w:w="120" w:type="dxa"/>
            </w:tcMar>
          </w:tcPr>
          <w:p>
            <w:r>
              <w:rPr>
                <w:rFonts w:ascii="Calibri" w:hAnsi="Calibri" w:eastAsia="Calibri" w:cs="Calibri"/>
                <w:sz w:val="17"/>
              </w:rPr>
              <w:t xml:space="preserve">Confirm that deployed bytecode matches the supplied source</w:t>
            </w:r>
            <w:pPr>
              <w:snapToGrid w:val="0"/>
              <w:spacing w:line="300" w:lineRule="exact" w:after="90"/>
            </w:pPr>
          </w:p>
        </w:tc>
        <w:trPr>
          <w:cantSplit/>
        </w:trPr>
      </w:tr>
      <w:tr>
        <w:tc>
          <w:tcPr>
            <w:tcW w:type="dxa" w:w="1134"/>
            <w:tcMar>
              <w:top w:w="120" w:type="dxa"/>
              <w:start w:w="120" w:type="dxa"/>
              <w:bottom w:w="120" w:type="dxa"/>
              <w:end w:w="120" w:type="dxa"/>
            </w:tcMar>
          </w:tcPr>
          <w:p>
            <w:r>
              <w:rPr>
                <w:rFonts w:ascii="Calibri" w:hAnsi="Calibri" w:eastAsia="Calibri" w:cs="Calibri"/>
                <w:sz w:val="17"/>
              </w:rPr>
              <w:t xml:space="preserve">Required</w:t>
            </w:r>
            <w:pPr>
              <w:snapToGrid w:val="0"/>
              <w:spacing w:line="300" w:lineRule="exact" w:after="90"/>
            </w:pPr>
          </w:p>
        </w:tc>
        <w:tc>
          <w:tcPr>
            <w:tcW w:type="dxa" w:w="3685"/>
            <w:tcMar>
              <w:top w:w="120" w:type="dxa"/>
              <w:start w:w="120" w:type="dxa"/>
              <w:bottom w:w="120" w:type="dxa"/>
              <w:end w:w="120" w:type="dxa"/>
            </w:tcMar>
          </w:tcPr>
          <w:p>
            <w:r>
              <w:rPr>
                <w:rFonts w:ascii="Calibri" w:hAnsi="Calibri" w:eastAsia="Calibri" w:cs="Calibri"/>
                <w:sz w:val="17"/>
              </w:rPr>
              <w:t xml:space="preserve">Confirm totalSupply() on-chain</w:t>
            </w:r>
            <w:pPr>
              <w:snapToGrid w:val="0"/>
              <w:spacing w:line="300" w:lineRule="exact" w:after="90"/>
            </w:pPr>
          </w:p>
        </w:tc>
        <w:tc>
          <w:tcPr>
            <w:tcW w:type="dxa" w:w="4649"/>
            <w:tcMar>
              <w:top w:w="120" w:type="dxa"/>
              <w:start w:w="120" w:type="dxa"/>
              <w:bottom w:w="120" w:type="dxa"/>
              <w:end w:w="120" w:type="dxa"/>
            </w:tcMar>
          </w:tcPr>
          <w:p>
            <w:r>
              <w:rPr>
                <w:rFonts w:ascii="Calibri" w:hAnsi="Calibri" w:eastAsia="Calibri" w:cs="Calibri"/>
                <w:sz w:val="17"/>
              </w:rPr>
              <w:t xml:space="preserve">Confirm 125,000,000 USHC</w:t>
            </w:r>
            <w:pPr>
              <w:snapToGrid w:val="0"/>
              <w:spacing w:line="300" w:lineRule="exact" w:after="90"/>
            </w:pPr>
          </w:p>
        </w:tc>
        <w:trPr>
          <w:cantSplit/>
        </w:trPr>
      </w:tr>
      <w:tr>
        <w:tc>
          <w:tcPr>
            <w:tcW w:type="dxa" w:w="1134"/>
            <w:tcMar>
              <w:top w:w="120" w:type="dxa"/>
              <w:start w:w="120" w:type="dxa"/>
              <w:bottom w:w="120" w:type="dxa"/>
              <w:end w:w="120" w:type="dxa"/>
            </w:tcMar>
          </w:tcPr>
          <w:p>
            <w:r>
              <w:rPr>
                <w:rFonts w:ascii="Calibri" w:hAnsi="Calibri" w:eastAsia="Calibri" w:cs="Calibri"/>
                <w:sz w:val="17"/>
              </w:rPr>
              <w:t xml:space="preserve">Required</w:t>
            </w:r>
            <w:pPr>
              <w:snapToGrid w:val="0"/>
              <w:spacing w:line="300" w:lineRule="exact" w:after="90"/>
            </w:pPr>
          </w:p>
        </w:tc>
        <w:tc>
          <w:tcPr>
            <w:tcW w:type="dxa" w:w="3685"/>
            <w:tcMar>
              <w:top w:w="120" w:type="dxa"/>
              <w:start w:w="120" w:type="dxa"/>
              <w:bottom w:w="120" w:type="dxa"/>
              <w:end w:w="120" w:type="dxa"/>
            </w:tcMar>
          </w:tcPr>
          <w:p>
            <w:r>
              <w:rPr>
                <w:rFonts w:ascii="Calibri" w:hAnsi="Calibri" w:eastAsia="Calibri" w:cs="Calibri"/>
                <w:sz w:val="17"/>
              </w:rPr>
              <w:t xml:space="preserve">Confirm the current owner address</w:t>
            </w:r>
            <w:pPr>
              <w:snapToGrid w:val="0"/>
              <w:spacing w:line="300" w:lineRule="exact" w:after="90"/>
            </w:pPr>
          </w:p>
        </w:tc>
        <w:tc>
          <w:tcPr>
            <w:tcW w:type="dxa" w:w="4649"/>
            <w:tcMar>
              <w:top w:w="120" w:type="dxa"/>
              <w:start w:w="120" w:type="dxa"/>
              <w:bottom w:w="120" w:type="dxa"/>
              <w:end w:w="120" w:type="dxa"/>
            </w:tcMar>
          </w:tcPr>
          <w:p>
            <w:r>
              <w:rPr>
                <w:rFonts w:ascii="Calibri" w:hAnsi="Calibri" w:eastAsia="Calibri" w:cs="Calibri"/>
                <w:sz w:val="17"/>
              </w:rPr>
              <w:t xml:space="preserve">Identify the party controlling burn and ownership privileges</w:t>
            </w:r>
            <w:pPr>
              <w:snapToGrid w:val="0"/>
              <w:spacing w:line="300" w:lineRule="exact" w:after="90"/>
            </w:pPr>
          </w:p>
        </w:tc>
        <w:trPr>
          <w:cantSplit/>
        </w:trPr>
      </w:tr>
      <w:tr>
        <w:tc>
          <w:tcPr>
            <w:tcW w:type="dxa" w:w="1134"/>
            <w:tcMar>
              <w:top w:w="120" w:type="dxa"/>
              <w:start w:w="120" w:type="dxa"/>
              <w:bottom w:w="120" w:type="dxa"/>
              <w:end w:w="120" w:type="dxa"/>
            </w:tcMar>
          </w:tcPr>
          <w:p>
            <w:r>
              <w:rPr>
                <w:rFonts w:ascii="Calibri" w:hAnsi="Calibri" w:eastAsia="Calibri" w:cs="Calibri"/>
                <w:sz w:val="17"/>
              </w:rPr>
              <w:t xml:space="preserve">Required</w:t>
            </w:r>
            <w:pPr>
              <w:snapToGrid w:val="0"/>
              <w:spacing w:line="300" w:lineRule="exact" w:after="90"/>
            </w:pPr>
          </w:p>
        </w:tc>
        <w:tc>
          <w:tcPr>
            <w:tcW w:type="dxa" w:w="3685"/>
            <w:tcMar>
              <w:top w:w="120" w:type="dxa"/>
              <w:start w:w="120" w:type="dxa"/>
              <w:bottom w:w="120" w:type="dxa"/>
              <w:end w:w="120" w:type="dxa"/>
            </w:tcMar>
          </w:tcPr>
          <w:p>
            <w:r>
              <w:rPr>
                <w:rFonts w:ascii="Calibri" w:hAnsi="Calibri" w:eastAsia="Calibri" w:cs="Calibri"/>
                <w:sz w:val="17"/>
              </w:rPr>
              <w:t xml:space="preserve">Compile all ERC-20 Transfer events since 2019</w:t>
            </w:r>
            <w:pPr>
              <w:snapToGrid w:val="0"/>
              <w:spacing w:line="300" w:lineRule="exact" w:after="90"/>
            </w:pPr>
          </w:p>
        </w:tc>
        <w:tc>
          <w:tcPr>
            <w:tcW w:type="dxa" w:w="4649"/>
            <w:tcMar>
              <w:top w:w="120" w:type="dxa"/>
              <w:start w:w="120" w:type="dxa"/>
              <w:bottom w:w="120" w:type="dxa"/>
              <w:end w:w="120" w:type="dxa"/>
            </w:tcMar>
          </w:tcPr>
          <w:p>
            <w:r>
              <w:rPr>
                <w:rFonts w:ascii="Calibri" w:hAnsi="Calibri" w:eastAsia="Calibri" w:cs="Calibri"/>
                <w:sz w:val="17"/>
              </w:rPr>
              <w:t xml:space="preserve">Confirm existing circulating supply and the movement of 147,400 USHC</w:t>
            </w:r>
            <w:pPr>
              <w:snapToGrid w:val="0"/>
              <w:spacing w:line="300" w:lineRule="exact" w:after="90"/>
            </w:pPr>
          </w:p>
        </w:tc>
        <w:trPr>
          <w:cantSplit/>
        </w:trPr>
      </w:tr>
      <w:tr>
        <w:tc>
          <w:tcPr>
            <w:tcW w:type="dxa" w:w="1134"/>
            <w:tcMar>
              <w:top w:w="120" w:type="dxa"/>
              <w:start w:w="120" w:type="dxa"/>
              <w:bottom w:w="120" w:type="dxa"/>
              <w:end w:w="120" w:type="dxa"/>
            </w:tcMar>
          </w:tcPr>
          <w:p>
            <w:r>
              <w:rPr>
                <w:rFonts w:ascii="Calibri" w:hAnsi="Calibri" w:eastAsia="Calibri" w:cs="Calibri"/>
                <w:sz w:val="17"/>
              </w:rPr>
              <w:t xml:space="preserve">Recommended</w:t>
            </w:r>
            <w:pPr>
              <w:snapToGrid w:val="0"/>
              <w:spacing w:line="300" w:lineRule="exact" w:after="90"/>
            </w:pPr>
          </w:p>
        </w:tc>
        <w:tc>
          <w:tcPr>
            <w:tcW w:type="dxa" w:w="3685"/>
            <w:tcMar>
              <w:top w:w="120" w:type="dxa"/>
              <w:start w:w="120" w:type="dxa"/>
              <w:bottom w:w="120" w:type="dxa"/>
              <w:end w:w="120" w:type="dxa"/>
            </w:tcMar>
          </w:tcPr>
          <w:p>
            <w:r>
              <w:rPr>
                <w:rFonts w:ascii="Calibri" w:hAnsi="Calibri" w:eastAsia="Calibri" w:cs="Calibri"/>
                <w:sz w:val="17"/>
              </w:rPr>
              <w:t xml:space="preserve">Move treasury assets to a multisig requiring at least 2 of 3 signatures</w:t>
            </w:r>
            <w:pPr>
              <w:snapToGrid w:val="0"/>
              <w:spacing w:line="300" w:lineRule="exact" w:after="90"/>
            </w:pPr>
          </w:p>
        </w:tc>
        <w:tc>
          <w:tcPr>
            <w:tcW w:type="dxa" w:w="4649"/>
            <w:tcMar>
              <w:top w:w="120" w:type="dxa"/>
              <w:start w:w="120" w:type="dxa"/>
              <w:bottom w:w="120" w:type="dxa"/>
              <w:end w:w="120" w:type="dxa"/>
            </w:tcMar>
          </w:tcPr>
          <w:p>
            <w:r>
              <w:rPr>
                <w:rFonts w:ascii="Calibri" w:hAnsi="Calibri" w:eastAsia="Calibri" w:cs="Calibri"/>
                <w:sz w:val="17"/>
              </w:rPr>
              <w:t xml:space="preserve">Reduce single-key risk for wallets holding large balances</w:t>
            </w:r>
            <w:pPr>
              <w:snapToGrid w:val="0"/>
              <w:spacing w:line="300" w:lineRule="exact" w:after="90"/>
            </w:pPr>
          </w:p>
        </w:tc>
        <w:trPr>
          <w:cantSplit/>
        </w:trPr>
      </w:tr>
      <w:tr>
        <w:tc>
          <w:tcPr>
            <w:tcW w:type="dxa" w:w="1134"/>
            <w:tcMar>
              <w:top w:w="120" w:type="dxa"/>
              <w:start w:w="120" w:type="dxa"/>
              <w:bottom w:w="120" w:type="dxa"/>
              <w:end w:w="120" w:type="dxa"/>
            </w:tcMar>
          </w:tcPr>
          <w:p>
            <w:r>
              <w:rPr>
                <w:rFonts w:ascii="Calibri" w:hAnsi="Calibri" w:eastAsia="Calibri" w:cs="Calibri"/>
                <w:sz w:val="17"/>
              </w:rPr>
              <w:t xml:space="preserve">Recommended</w:t>
            </w:r>
            <w:pPr>
              <w:snapToGrid w:val="0"/>
              <w:spacing w:line="300" w:lineRule="exact" w:after="90"/>
            </w:pPr>
          </w:p>
        </w:tc>
        <w:tc>
          <w:tcPr>
            <w:tcW w:type="dxa" w:w="3685"/>
            <w:tcMar>
              <w:top w:w="120" w:type="dxa"/>
              <w:start w:w="120" w:type="dxa"/>
              <w:bottom w:w="120" w:type="dxa"/>
              <w:end w:w="120" w:type="dxa"/>
            </w:tcMar>
          </w:tcPr>
          <w:p>
            <w:r>
              <w:rPr>
                <w:rFonts w:ascii="Calibri" w:hAnsi="Calibri" w:eastAsia="Calibri" w:cs="Calibri"/>
                <w:sz w:val="17"/>
              </w:rPr>
              <w:t xml:space="preserve">Obtain an external smart contract audit</w:t>
            </w:r>
            <w:pPr>
              <w:snapToGrid w:val="0"/>
              <w:spacing w:line="300" w:lineRule="exact" w:after="90"/>
            </w:pPr>
          </w:p>
        </w:tc>
        <w:tc>
          <w:tcPr>
            <w:tcW w:type="dxa" w:w="4649"/>
            <w:tcMar>
              <w:top w:w="120" w:type="dxa"/>
              <w:start w:w="120" w:type="dxa"/>
              <w:bottom w:w="120" w:type="dxa"/>
              <w:end w:w="120" w:type="dxa"/>
            </w:tcMar>
          </w:tcPr>
          <w:p>
            <w:r>
              <w:rPr>
                <w:rFonts w:ascii="Calibri" w:hAnsi="Calibri" w:eastAsia="Calibri" w:cs="Calibri"/>
                <w:sz w:val="17"/>
              </w:rPr>
              <w:t xml:space="preserve">Improve confidence in exchange and investor due diligence</w:t>
            </w:r>
            <w:pPr>
              <w:snapToGrid w:val="0"/>
              <w:spacing w:line="300" w:lineRule="exact" w:after="90"/>
            </w:pPr>
          </w:p>
        </w:tc>
        <w:trPr>
          <w:cantSplit/>
        </w:trPr>
      </w:tr>
      <w:tr>
        <w:tc>
          <w:tcPr>
            <w:tcW w:type="dxa" w:w="1134"/>
            <w:tcMar>
              <w:top w:w="120" w:type="dxa"/>
              <w:start w:w="120" w:type="dxa"/>
              <w:bottom w:w="120" w:type="dxa"/>
              <w:end w:w="120" w:type="dxa"/>
            </w:tcMar>
          </w:tcPr>
          <w:p>
            <w:r>
              <w:rPr>
                <w:rFonts w:ascii="Calibri" w:hAnsi="Calibri" w:eastAsia="Calibri" w:cs="Calibri"/>
                <w:sz w:val="17"/>
              </w:rPr>
              <w:t xml:space="preserve">Recommended</w:t>
            </w:r>
            <w:pPr>
              <w:snapToGrid w:val="0"/>
              <w:spacing w:line="300" w:lineRule="exact" w:after="90"/>
            </w:pPr>
          </w:p>
        </w:tc>
        <w:tc>
          <w:tcPr>
            <w:tcW w:type="dxa" w:w="3685"/>
            <w:tcMar>
              <w:top w:w="120" w:type="dxa"/>
              <w:start w:w="120" w:type="dxa"/>
              <w:bottom w:w="120" w:type="dxa"/>
              <w:end w:w="120" w:type="dxa"/>
            </w:tcMar>
          </w:tcPr>
          <w:p>
            <w:r>
              <w:rPr>
                <w:rFonts w:ascii="Calibri" w:hAnsi="Calibri" w:eastAsia="Calibri" w:cs="Calibri"/>
                <w:sz w:val="17"/>
              </w:rPr>
              <w:t xml:space="preserve">Update Etherscan/imToken token profiles</w:t>
            </w:r>
            <w:pPr>
              <w:snapToGrid w:val="0"/>
              <w:spacing w:line="300" w:lineRule="exact" w:after="90"/>
            </w:pPr>
          </w:p>
        </w:tc>
        <w:tc>
          <w:tcPr>
            <w:tcW w:type="dxa" w:w="4649"/>
            <w:tcMar>
              <w:top w:w="120" w:type="dxa"/>
              <w:start w:w="120" w:type="dxa"/>
              <w:bottom w:w="120" w:type="dxa"/>
              <w:end w:w="120" w:type="dxa"/>
            </w:tcMar>
          </w:tcPr>
          <w:p>
            <w:r>
              <w:rPr>
                <w:rFonts w:ascii="Calibri" w:hAnsi="Calibri" w:eastAsia="Calibri" w:cs="Calibri"/>
                <w:sz w:val="17"/>
              </w:rPr>
              <w:t xml:space="preserve">Prevent impersonation of the official contract</w:t>
            </w:r>
            <w:pPr>
              <w:snapToGrid w:val="0"/>
              <w:spacing w:line="300" w:lineRule="exact" w:after="90"/>
            </w:pPr>
          </w:p>
        </w:tc>
        <w:trPr>
          <w:cantSplit/>
        </w:trPr>
      </w:tr>
    </w:tbl>
    <w:p>
      <w:pPr>
        <w:snapToGrid w:val="0"/>
      </w:pPr>
    </w:p>
    <w:p>
      <w:pPr>
        <w:pStyle w:val="Heading1"/>
        <w:snapToGrid w:val="0"/>
        <w:spacing w:line="300" w:lineRule="exact" w:after="90"/>
      </w:pPr>
      <w:r>
        <w:rPr>
          <w:rFonts w:ascii="Calibri" w:hAnsi="Calibri" w:eastAsia="Calibri" w:cs="Calibri"/>
        </w:rPr>
        <w:t xml:space="preserve">5. Token impersonation and duplicate-symbol risks</w:t>
      </w:r>
    </w:p>
    <w:p>
      <w:r>
        <w:rPr>
          <w:rFonts w:ascii="Calibri" w:hAnsi="Calibri" w:eastAsia="Calibri" w:cs="Calibri"/>
        </w:rPr>
        <w:t xml:space="preserve">ERC-20 token names and symbols are not globally unique. A third party can therefore create a separate token using the same name and symbol, “USHC.” However, the official contract address cannot be duplicated identically. The address below must therefore be fixed as the sole official identifier in all official documents, websites, white papers, presale agreements, and exchange applications.</w:t>
      </w:r>
      <w:pPr>
        <w:snapToGrid w:val="0"/>
        <w:spacing w:line="300" w:lineRule="exact" w:after="90"/>
      </w:pPr>
    </w:p>
    <w:p>
      <w:pPr>
        <w:jc w:val="center"/>
        <w:snapToGrid w:val="0"/>
        <w:spacing w:line="300" w:lineRule="exact" w:after="90"/>
      </w:pPr>
      <w:r>
        <w:rPr>
          <w:rFonts w:ascii="Calibri" w:hAnsi="Calibri" w:eastAsia="Calibri" w:cs="Calibri"/>
          <w:b/>
          <w:sz w:val="21"/>
        </w:rPr>
        <w:t>0x7176fa45cd326d122b33d97d67a8b55d747411e8</w:t>
      </w:r>
    </w:p>
    <w:p>
      <w:r>
        <w:rPr>
          <w:rFonts w:ascii="Calibri" w:hAnsi="Calibri" w:eastAsia="Calibri" w:cs="Calibri"/>
        </w:rPr>
        <w:t xml:space="preserve">Recommended notice: “USHC tokens at any contract address other than this one are not recognized as official USHC.”</w:t>
      </w:r>
      <w:pPr>
        <w:snapToGrid w:val="0"/>
        <w:spacing w:line="300" w:lineRule="exact" w:after="90"/>
      </w:pPr>
    </w:p>
    <w:p>
      <w:pPr>
        <w:pStyle w:val="Heading1"/>
        <w:snapToGrid w:val="0"/>
        <w:spacing w:line="300" w:lineRule="exact" w:after="90"/>
      </w:pPr>
      <w:r>
        <w:rPr>
          <w:rFonts w:ascii="Calibri" w:hAnsi="Calibri" w:eastAsia="Calibri" w:cs="Calibri"/>
        </w:rPr>
        <w:t xml:space="preserve">6. Technical assessment for exchange submission</w:t>
      </w:r>
    </w:p>
    <w:tbl>
      <w:tblPr>
        <w:tblStyle w:val="TableGrid"/>
        <w:tblW w:type="auto" w:w="0"/>
        <w:jc w:val="center"/>
        <w:tblLook w:firstColumn="1" w:firstRow="1" w:lastColumn="0" w:lastRow="0" w:noHBand="0" w:noVBand="1" w:val="04A0"/>
      </w:tblPr>
      <w:tblGrid>
        <w:gridCol w:w="4986"/>
        <w:gridCol w:w="4986"/>
      </w:tblGrid>
      <w:tr>
        <w:tc>
          <w:tcPr>
            <w:tcW w:type="dxa" w:w="4819"/>
            <w:shd w:fill="D9EAF7"/>
            <w:tcMar>
              <w:top w:w="80" w:type="dxa"/>
              <w:start w:w="120" w:type="dxa"/>
              <w:bottom w:w="80" w:type="dxa"/>
              <w:end w:w="120" w:type="dxa"/>
            </w:tcMar>
          </w:tcPr>
          <w:p>
            <w:r>
              <w:rPr>
                <w:rFonts w:ascii="Calibri" w:hAnsi="Calibri" w:eastAsia="Calibri" w:cs="Calibri"/>
                <w:b/>
                <w:sz w:val="18"/>
              </w:rPr>
              <w:t xml:space="preserve">Check item</w:t>
            </w:r>
            <w:pPr>
              <w:snapToGrid w:val="0"/>
              <w:spacing w:line="300" w:lineRule="exact" w:after="0"/>
            </w:pPr>
          </w:p>
        </w:tc>
        <w:tc>
          <w:tcPr>
            <w:tcW w:type="dxa" w:w="4649"/>
            <w:shd w:fill="D9EAF7"/>
            <w:tcMar>
              <w:top w:w="80" w:type="dxa"/>
              <w:start w:w="120" w:type="dxa"/>
              <w:bottom w:w="80" w:type="dxa"/>
              <w:end w:w="120" w:type="dxa"/>
            </w:tcMar>
          </w:tcPr>
          <w:p>
            <w:r>
              <w:rPr>
                <w:rFonts w:ascii="Calibri" w:hAnsi="Calibri" w:eastAsia="Calibri" w:cs="Calibri"/>
                <w:b/>
                <w:sz w:val="18"/>
              </w:rPr>
              <w:t xml:space="preserve">Assessment</w:t>
            </w:r>
            <w:pPr>
              <w:snapToGrid w:val="0"/>
              <w:spacing w:line="300" w:lineRule="exact" w:after="0"/>
            </w:pPr>
          </w:p>
        </w:tc>
        <w:trPr>
          <w:cantSplit/>
          <w:tblHeader/>
        </w:trPr>
      </w:tr>
      <w:tr>
        <w:tc>
          <w:tcPr>
            <w:tcW w:type="dxa" w:w="4819"/>
            <w:tcMar>
              <w:top w:w="80" w:type="dxa"/>
              <w:start w:w="120" w:type="dxa"/>
              <w:bottom w:w="80" w:type="dxa"/>
              <w:end w:w="120" w:type="dxa"/>
            </w:tcMar>
          </w:tcPr>
          <w:p>
            <w:r>
              <w:rPr>
                <w:rFonts w:ascii="Calibri" w:hAnsi="Calibri" w:eastAsia="Calibri" w:cs="Calibri"/>
                <w:sz w:val="17"/>
              </w:rPr>
              <w:t xml:space="preserve">Basic ERC-20 transfer functionality</w:t>
            </w:r>
            <w:pPr>
              <w:snapToGrid w:val="0"/>
              <w:spacing w:line="300" w:lineRule="exact" w:after="0"/>
            </w:pPr>
          </w:p>
        </w:tc>
        <w:tc>
          <w:tcPr>
            <w:tcW w:type="dxa" w:w="4649"/>
            <w:tcMar>
              <w:top w:w="80" w:type="dxa"/>
              <w:start w:w="120" w:type="dxa"/>
              <w:bottom w:w="80" w:type="dxa"/>
              <w:end w:w="120" w:type="dxa"/>
            </w:tcMar>
          </w:tcPr>
          <w:p>
            <w:r>
              <w:rPr>
                <w:rFonts w:ascii="Calibri" w:hAnsi="Calibri" w:eastAsia="Calibri" w:cs="Calibri"/>
                <w:sz w:val="17"/>
              </w:rPr>
              <w:t xml:space="preserve">Confirmed</w:t>
            </w:r>
            <w:pPr>
              <w:snapToGrid w:val="0"/>
              <w:spacing w:line="300" w:lineRule="exact" w:after="0"/>
            </w:pPr>
          </w:p>
        </w:tc>
        <w:trPr>
          <w:cantSplit/>
        </w:trPr>
      </w:tr>
      <w:tr>
        <w:tc>
          <w:tcPr>
            <w:tcW w:type="dxa" w:w="4819"/>
            <w:tcMar>
              <w:top w:w="80" w:type="dxa"/>
              <w:start w:w="120" w:type="dxa"/>
              <w:bottom w:w="80" w:type="dxa"/>
              <w:end w:w="120" w:type="dxa"/>
            </w:tcMar>
          </w:tcPr>
          <w:p>
            <w:r>
              <w:rPr>
                <w:rFonts w:ascii="Calibri" w:hAnsi="Calibri" w:eastAsia="Calibri" w:cs="Calibri"/>
                <w:sz w:val="17"/>
              </w:rPr>
              <w:t>Decimals</w:t>
            </w:r>
            <w:pPr>
              <w:snapToGrid w:val="0"/>
              <w:spacing w:line="300" w:lineRule="exact" w:after="0"/>
            </w:pPr>
          </w:p>
        </w:tc>
        <w:tc>
          <w:tcPr>
            <w:tcW w:type="dxa" w:w="4649"/>
            <w:tcMar>
              <w:top w:w="80" w:type="dxa"/>
              <w:start w:w="120" w:type="dxa"/>
              <w:bottom w:w="80" w:type="dxa"/>
              <w:end w:w="120" w:type="dxa"/>
            </w:tcMar>
          </w:tcPr>
          <w:p>
            <w:r>
              <w:rPr>
                <w:rFonts w:ascii="Calibri" w:hAnsi="Calibri" w:eastAsia="Calibri" w:cs="Calibri"/>
                <w:sz w:val="17"/>
              </w:rPr>
              <w:t>18</w:t>
            </w:r>
            <w:pPr>
              <w:snapToGrid w:val="0"/>
              <w:spacing w:line="300" w:lineRule="exact" w:after="0"/>
            </w:pPr>
          </w:p>
        </w:tc>
        <w:trPr>
          <w:cantSplit/>
        </w:trPr>
      </w:tr>
      <w:tr>
        <w:tc>
          <w:tcPr>
            <w:tcW w:type="dxa" w:w="4819"/>
            <w:tcMar>
              <w:top w:w="80" w:type="dxa"/>
              <w:start w:w="120" w:type="dxa"/>
              <w:bottom w:w="80" w:type="dxa"/>
              <w:end w:w="120" w:type="dxa"/>
            </w:tcMar>
          </w:tcPr>
          <w:p>
            <w:r>
              <w:rPr>
                <w:rFonts w:ascii="Calibri" w:hAnsi="Calibri" w:eastAsia="Calibri" w:cs="Calibri"/>
                <w:sz w:val="17"/>
              </w:rPr>
              <w:t xml:space="preserve">Initial issuance method</w:t>
            </w:r>
            <w:pPr>
              <w:snapToGrid w:val="0"/>
              <w:spacing w:line="300" w:lineRule="exact" w:after="0"/>
            </w:pPr>
          </w:p>
        </w:tc>
        <w:tc>
          <w:tcPr>
            <w:tcW w:type="dxa" w:w="4649"/>
            <w:tcMar>
              <w:top w:w="80" w:type="dxa"/>
              <w:start w:w="120" w:type="dxa"/>
              <w:bottom w:w="80" w:type="dxa"/>
              <w:end w:w="120" w:type="dxa"/>
            </w:tcMar>
          </w:tcPr>
          <w:p>
            <w:r>
              <w:rPr>
                <w:rFonts w:ascii="Calibri" w:hAnsi="Calibri" w:eastAsia="Calibri" w:cs="Calibri"/>
                <w:sz w:val="17"/>
              </w:rPr>
              <w:t xml:space="preserve">One-time issuance by the constructor</w:t>
            </w:r>
            <w:pPr>
              <w:snapToGrid w:val="0"/>
              <w:spacing w:line="300" w:lineRule="exact" w:after="0"/>
            </w:pPr>
          </w:p>
        </w:tc>
        <w:trPr>
          <w:cantSplit/>
        </w:trPr>
      </w:tr>
      <w:tr>
        <w:tc>
          <w:tcPr>
            <w:tcW w:type="dxa" w:w="4819"/>
            <w:tcMar>
              <w:top w:w="80" w:type="dxa"/>
              <w:start w:w="120" w:type="dxa"/>
              <w:bottom w:w="80" w:type="dxa"/>
              <w:end w:w="120" w:type="dxa"/>
            </w:tcMar>
          </w:tcPr>
          <w:p>
            <w:r>
              <w:rPr>
                <w:rFonts w:ascii="Calibri" w:hAnsi="Calibri" w:eastAsia="Calibri" w:cs="Calibri"/>
                <w:sz w:val="17"/>
              </w:rPr>
              <w:t xml:space="preserve">Additional minting function</w:t>
            </w:r>
            <w:pPr>
              <w:snapToGrid w:val="0"/>
              <w:spacing w:line="300" w:lineRule="exact" w:after="0"/>
            </w:pPr>
          </w:p>
        </w:tc>
        <w:tc>
          <w:tcPr>
            <w:tcW w:type="dxa" w:w="4649"/>
            <w:tcMar>
              <w:top w:w="80" w:type="dxa"/>
              <w:start w:w="120" w:type="dxa"/>
              <w:bottom w:w="80" w:type="dxa"/>
              <w:end w:w="120" w:type="dxa"/>
            </w:tcMar>
          </w:tcPr>
          <w:p>
            <w:r>
              <w:rPr>
                <w:rFonts w:ascii="Calibri" w:hAnsi="Calibri" w:eastAsia="Calibri" w:cs="Calibri"/>
                <w:sz w:val="17"/>
              </w:rPr>
              <w:t xml:space="preserve">None</w:t>
            </w:r>
            <w:pPr>
              <w:snapToGrid w:val="0"/>
              <w:spacing w:line="300" w:lineRule="exact" w:after="0"/>
            </w:pPr>
          </w:p>
        </w:tc>
        <w:trPr>
          <w:cantSplit/>
        </w:trPr>
      </w:tr>
      <w:tr>
        <w:tc>
          <w:tcPr>
            <w:tcW w:type="dxa" w:w="4819"/>
            <w:tcMar>
              <w:top w:w="80" w:type="dxa"/>
              <w:start w:w="120" w:type="dxa"/>
              <w:bottom w:w="80" w:type="dxa"/>
              <w:end w:w="120" w:type="dxa"/>
            </w:tcMar>
          </w:tcPr>
          <w:p>
            <w:r>
              <w:rPr>
                <w:rFonts w:ascii="Calibri" w:hAnsi="Calibri" w:eastAsia="Calibri" w:cs="Calibri"/>
                <w:sz w:val="17"/>
              </w:rPr>
              <w:t xml:space="preserve">Path for increasing supply</w:t>
            </w:r>
            <w:pPr>
              <w:snapToGrid w:val="0"/>
              <w:spacing w:line="300" w:lineRule="exact" w:after="0"/>
            </w:pPr>
          </w:p>
        </w:tc>
        <w:tc>
          <w:tcPr>
            <w:tcW w:type="dxa" w:w="4649"/>
            <w:tcMar>
              <w:top w:w="80" w:type="dxa"/>
              <w:start w:w="120" w:type="dxa"/>
              <w:bottom w:w="80" w:type="dxa"/>
              <w:end w:w="120" w:type="dxa"/>
            </w:tcMar>
          </w:tcPr>
          <w:p>
            <w:r>
              <w:rPr>
                <w:rFonts w:ascii="Calibri" w:hAnsi="Calibri" w:eastAsia="Calibri" w:cs="Calibri"/>
                <w:sz w:val="17"/>
              </w:rPr>
              <w:t xml:space="preserve">None</w:t>
            </w:r>
            <w:pPr>
              <w:snapToGrid w:val="0"/>
              <w:spacing w:line="300" w:lineRule="exact" w:after="0"/>
            </w:pPr>
          </w:p>
        </w:tc>
        <w:trPr>
          <w:cantSplit/>
        </w:trPr>
      </w:tr>
      <w:tr>
        <w:tc>
          <w:tcPr>
            <w:tcW w:type="dxa" w:w="4819"/>
            <w:tcMar>
              <w:top w:w="80" w:type="dxa"/>
              <w:start w:w="120" w:type="dxa"/>
              <w:bottom w:w="80" w:type="dxa"/>
              <w:end w:w="120" w:type="dxa"/>
            </w:tcMar>
          </w:tcPr>
          <w:p>
            <w:r>
              <w:rPr>
                <w:rFonts w:ascii="Calibri" w:hAnsi="Calibri" w:eastAsia="Calibri" w:cs="Calibri"/>
                <w:sz w:val="17"/>
              </w:rPr>
              <w:t xml:space="preserve">Burn functionality</w:t>
            </w:r>
            <w:pPr>
              <w:snapToGrid w:val="0"/>
              <w:spacing w:line="300" w:lineRule="exact" w:after="0"/>
            </w:pPr>
          </w:p>
        </w:tc>
        <w:tc>
          <w:tcPr>
            <w:tcW w:type="dxa" w:w="4649"/>
            <w:tcMar>
              <w:top w:w="80" w:type="dxa"/>
              <w:start w:w="120" w:type="dxa"/>
              <w:bottom w:w="80" w:type="dxa"/>
              <w:end w:w="120" w:type="dxa"/>
            </w:tcMar>
          </w:tcPr>
          <w:p>
            <w:r>
              <w:rPr>
                <w:rFonts w:ascii="Calibri" w:hAnsi="Calibri" w:eastAsia="Calibri" w:cs="Calibri"/>
                <w:sz w:val="17"/>
              </w:rPr>
              <w:t xml:space="preserve">Owner only</w:t>
            </w:r>
            <w:pPr>
              <w:snapToGrid w:val="0"/>
              <w:spacing w:line="300" w:lineRule="exact" w:after="0"/>
            </w:pPr>
          </w:p>
        </w:tc>
        <w:trPr>
          <w:cantSplit/>
        </w:trPr>
      </w:tr>
      <w:tr>
        <w:tc>
          <w:tcPr>
            <w:tcW w:type="dxa" w:w="4819"/>
            <w:tcMar>
              <w:top w:w="80" w:type="dxa"/>
              <w:start w:w="120" w:type="dxa"/>
              <w:bottom w:w="80" w:type="dxa"/>
              <w:end w:w="120" w:type="dxa"/>
            </w:tcMar>
          </w:tcPr>
          <w:p>
            <w:r>
              <w:rPr>
                <w:rFonts w:ascii="Calibri" w:hAnsi="Calibri" w:eastAsia="Calibri" w:cs="Calibri"/>
                <w:sz w:val="17"/>
              </w:rPr>
              <w:t>Pause / Blacklist</w:t>
            </w:r>
            <w:pPr>
              <w:snapToGrid w:val="0"/>
              <w:spacing w:line="300" w:lineRule="exact" w:after="0"/>
            </w:pPr>
          </w:p>
        </w:tc>
        <w:tc>
          <w:tcPr>
            <w:tcW w:type="dxa" w:w="4649"/>
            <w:tcMar>
              <w:top w:w="80" w:type="dxa"/>
              <w:start w:w="120" w:type="dxa"/>
              <w:bottom w:w="80" w:type="dxa"/>
              <w:end w:w="120" w:type="dxa"/>
            </w:tcMar>
          </w:tcPr>
          <w:p>
            <w:r>
              <w:rPr>
                <w:rFonts w:ascii="Calibri" w:hAnsi="Calibri" w:eastAsia="Calibri" w:cs="Calibri"/>
                <w:sz w:val="17"/>
              </w:rPr>
              <w:t xml:space="preserve">None</w:t>
            </w:r>
            <w:pPr>
              <w:snapToGrid w:val="0"/>
              <w:spacing w:line="300" w:lineRule="exact" w:after="0"/>
            </w:pPr>
          </w:p>
        </w:tc>
        <w:trPr>
          <w:cantSplit/>
        </w:trPr>
      </w:tr>
      <w:tr>
        <w:tc>
          <w:tcPr>
            <w:tcW w:type="dxa" w:w="4819"/>
            <w:tcMar>
              <w:top w:w="80" w:type="dxa"/>
              <w:start w:w="120" w:type="dxa"/>
              <w:bottom w:w="80" w:type="dxa"/>
              <w:end w:w="120" w:type="dxa"/>
            </w:tcMar>
          </w:tcPr>
          <w:p>
            <w:r>
              <w:rPr>
                <w:rFonts w:ascii="Calibri" w:hAnsi="Calibri" w:eastAsia="Calibri" w:cs="Calibri"/>
                <w:sz w:val="17"/>
              </w:rPr>
              <w:t>Transfer Tax / Fee</w:t>
            </w:r>
            <w:pPr>
              <w:snapToGrid w:val="0"/>
              <w:spacing w:line="300" w:lineRule="exact" w:after="0"/>
            </w:pPr>
          </w:p>
        </w:tc>
        <w:tc>
          <w:tcPr>
            <w:tcW w:type="dxa" w:w="4649"/>
            <w:tcMar>
              <w:top w:w="80" w:type="dxa"/>
              <w:start w:w="120" w:type="dxa"/>
              <w:bottom w:w="80" w:type="dxa"/>
              <w:end w:w="120" w:type="dxa"/>
            </w:tcMar>
          </w:tcPr>
          <w:p>
            <w:r>
              <w:rPr>
                <w:rFonts w:ascii="Calibri" w:hAnsi="Calibri" w:eastAsia="Calibri" w:cs="Calibri"/>
                <w:sz w:val="17"/>
              </w:rPr>
              <w:t xml:space="preserve">None</w:t>
            </w:r>
            <w:pPr>
              <w:snapToGrid w:val="0"/>
              <w:spacing w:line="300" w:lineRule="exact" w:after="0"/>
            </w:pPr>
          </w:p>
        </w:tc>
        <w:trPr>
          <w:cantSplit/>
        </w:trPr>
      </w:tr>
      <w:tr>
        <w:tc>
          <w:tcPr>
            <w:tcW w:type="dxa" w:w="4819"/>
            <w:tcMar>
              <w:top w:w="80" w:type="dxa"/>
              <w:start w:w="120" w:type="dxa"/>
              <w:bottom w:w="80" w:type="dxa"/>
              <w:end w:w="120" w:type="dxa"/>
            </w:tcMar>
          </w:tcPr>
          <w:p>
            <w:r>
              <w:rPr>
                <w:rFonts w:ascii="Calibri" w:hAnsi="Calibri" w:eastAsia="Calibri" w:cs="Calibri"/>
                <w:sz w:val="17"/>
              </w:rPr>
              <w:t>Proxy / Upgrade</w:t>
            </w:r>
            <w:pPr>
              <w:snapToGrid w:val="0"/>
              <w:spacing w:line="300" w:lineRule="exact" w:after="0"/>
            </w:pPr>
          </w:p>
        </w:tc>
        <w:tc>
          <w:tcPr>
            <w:tcW w:type="dxa" w:w="4649"/>
            <w:tcMar>
              <w:top w:w="80" w:type="dxa"/>
              <w:start w:w="120" w:type="dxa"/>
              <w:bottom w:w="80" w:type="dxa"/>
              <w:end w:w="120" w:type="dxa"/>
            </w:tcMar>
          </w:tcPr>
          <w:p>
            <w:r>
              <w:rPr>
                <w:rFonts w:ascii="Calibri" w:hAnsi="Calibri" w:eastAsia="Calibri" w:cs="Calibri"/>
                <w:sz w:val="17"/>
              </w:rPr>
              <w:t xml:space="preserve">None (based on the supplied code)</w:t>
            </w:r>
            <w:pPr>
              <w:snapToGrid w:val="0"/>
              <w:spacing w:line="300" w:lineRule="exact" w:after="0"/>
            </w:pPr>
          </w:p>
        </w:tc>
        <w:trPr>
          <w:cantSplit/>
        </w:trPr>
      </w:tr>
      <w:tr>
        <w:tc>
          <w:tcPr>
            <w:tcW w:type="dxa" w:w="4819"/>
            <w:tcMar>
              <w:top w:w="80" w:type="dxa"/>
              <w:start w:w="120" w:type="dxa"/>
              <w:bottom w:w="80" w:type="dxa"/>
              <w:end w:w="120" w:type="dxa"/>
            </w:tcMar>
          </w:tcPr>
          <w:p>
            <w:r>
              <w:rPr>
                <w:rFonts w:ascii="Calibri" w:hAnsi="Calibri" w:eastAsia="Calibri" w:cs="Calibri"/>
                <w:sz w:val="17"/>
              </w:rPr>
              <w:t xml:space="preserve">Final classification</w:t>
            </w:r>
            <w:pPr>
              <w:snapToGrid w:val="0"/>
              <w:spacing w:line="300" w:lineRule="exact" w:after="0"/>
            </w:pPr>
          </w:p>
        </w:tc>
        <w:tc>
          <w:tcPr>
            <w:tcW w:type="dxa" w:w="4649"/>
            <w:tcMar>
              <w:top w:w="80" w:type="dxa"/>
              <w:start w:w="120" w:type="dxa"/>
              <w:bottom w:w="80" w:type="dxa"/>
              <w:end w:w="120" w:type="dxa"/>
            </w:tcMar>
          </w:tcPr>
          <w:p>
            <w:r>
              <w:rPr>
                <w:rFonts w:ascii="Calibri" w:hAnsi="Calibri" w:eastAsia="Calibri" w:cs="Calibri"/>
                <w:sz w:val="17"/>
              </w:rPr>
              <w:t xml:space="preserve">Fixed-Supply / Non-Mintable ERC-20 (based on source code)</w:t>
            </w:r>
            <w:pPr>
              <w:snapToGrid w:val="0"/>
              <w:spacing w:line="300" w:lineRule="exact" w:after="0"/>
            </w:pPr>
          </w:p>
        </w:tc>
        <w:trPr>
          <w:cantSplit/>
        </w:trPr>
      </w:tr>
    </w:tbl>
    <w:p>
      <w:pPr>
        <w:snapToGrid w:val="0"/>
      </w:pPr>
    </w:p>
    <w:p>
      <w:pPr>
        <w:pStyle w:val="Heading1"/>
        <w:snapToGrid w:val="0"/>
        <w:spacing w:line="300" w:lineRule="exact" w:after="90"/>
      </w:pPr>
      <w:r>
        <w:rPr>
          <w:rFonts w:ascii="Calibri" w:hAnsi="Calibri" w:eastAsia="Calibri" w:cs="Calibri"/>
        </w:rPr>
        <w:t xml:space="preserve">7. Limitations and final confirmation</w:t>
      </w:r>
    </w:p>
    <w:p>
      <w:r>
        <w:rPr>
          <w:rFonts w:ascii="Calibri" w:hAnsi="Calibri" w:eastAsia="Calibri" w:cs="Calibri"/>
        </w:rPr>
        <w:t xml:space="preserve">This document does not replace a formal security audit, legal opinion, or an exchange's final listing approval. For final submission, it is advisable to include: ① Etherscan Verified Source, ② on-chain totalSupply, ③ the owner address, ④ the deployment transaction, and ⑤ token distribution and treasury policies.</w:t>
      </w:r>
      <w:pPr>
        <w:snapToGrid w:val="0"/>
        <w:spacing w:line="300" w:lineRule="exact" w:after="90"/>
      </w:pPr>
    </w:p>
    <w:p>
      <w:r>
        <w:rPr>
          <w:rFonts w:ascii="Calibri" w:hAnsi="Calibri" w:eastAsia="Calibri" w:cs="Calibri"/>
        </w:rPr>
        <w:t xml:space="preserve">Technical conclusion: If the actual deployed contract matches the supplied source code, no function or authorization path exists for minting additional USHC after deployment. Total supply can decrease only through burning.</w:t>
      </w:r>
      <w:pPr>
        <w:snapToGrid w:val="0"/>
        <w:spacing w:line="300" w:lineRule="exact" w:after="90"/>
      </w:pPr>
    </w:p>
    <w:p>
      <w:pPr>
        <w:snapToGrid w:val="0"/>
      </w:pPr>
    </w:p>
    <w:p>
      <w:pPr>
        <w:jc w:val="left"/>
        <w:snapToGrid w:val="0"/>
        <w:spacing w:line="300" w:lineRule="exact" w:after="90"/>
      </w:pPr>
      <w:r>
        <w:rPr>
          <w:rFonts w:ascii="Calibri" w:hAnsi="Calibri" w:eastAsia="Calibri" w:cs="Calibri"/>
          <w:b/>
          <w:color w:val="646464"/>
          <w:sz w:val="17"/>
        </w:rPr>
        <w:t xml:space="preserve">Purpose: Preliminary technical due diligence materials for USHC exchange listing</w:t>
        <w:br/>
        <w:t>Document type: Source-code-based preliminary technical verification</w:t>
      </w:r>
      <w:r>
        <w:rPr>
          <w:rFonts w:ascii="Calibri" w:hAnsi="Calibri" w:eastAsia="Calibri" w:cs="Calibri"/>
          <w:color w:val="646464"/>
          <w:sz w:val="17"/>
        </w:rPr>
        <w:t/>
      </w:r>
    </w:p>
    <w:sectPr w:rsidR="00FC693F" w:rsidRPr="0006063C" w:rsidSect="00034616">
      <w:headerReference w:type="default" r:id="rId9"/>
      <w:footerReference w:type="default" r:id="rId10"/>
      <w:pgSz w:w="12240" w:h="15840"/>
      <w:pgMar w:top="1020" w:right="1134" w:bottom="964" w:left="1134" w:header="454" w:footer="45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Page </w:t>
      <w:fldChar w:fldCharType="begin"/>
      <w:instrText xml:space="preserve"> PAGE </w:instrText>
      <w:fldChar w:fldCharType="end"/>
    </w:r>
    <w:r>
      <w:rPr>
        <w:sz w:val="18"/>
      </w:rPr>
      <w:t xml:space="preserve"> / </w:t>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eastAsia="Calibri" w:cs="Calibri"/>
        <w:color w:val="646464"/>
        <w:sz w:val="17"/>
      </w:rPr>
      <w:t>USHC  |  ERC-20 Technical Verification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ascii="Calibri" w:hAnsi="Calibri" w:eastAsia="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libri" w:hAnsi="Calibri" w:eastAsia="Calibri" w:cs="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Calibri" w:cs="Calibr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Calibri" w:cs="Calibri"/>
      <w:b/>
      <w:bCs/>
      <w:color w:val="44444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Calibri" w:hAnsi="Calibri" w:eastAsia="Calibri" w:cs="Calibr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eastAsia="Calibri" w:cs="Calibr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ascii="Calibri" w:hAnsi="Calibri" w:eastAsia="Calibri" w:cs="Calibri"/>
        <w:b/>
        <w:bCs/>
      </w:rPr>
    </w:tblStylePr>
    <w:tblStylePr w:type="lastCol">
      <w:rPr>
        <w:rFonts w:asciiTheme="majorHAnsi" w:eastAsiaTheme="majorEastAsia" w:hAnsiTheme="majorHAnsi" w:cstheme="majorBidi"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ascii="Calibri" w:hAnsi="Calibri" w:eastAsia="Calibri" w:cs="Calibri"/>
        <w:b/>
        <w:bCs/>
      </w:rPr>
    </w:tblStylePr>
    <w:tblStylePr w:type="lastCol">
      <w:rPr>
        <w:rFonts w:asciiTheme="majorHAnsi" w:eastAsiaTheme="majorEastAsia" w:hAnsiTheme="majorHAnsi" w:cstheme="majorBidi"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ascii="Calibri" w:hAnsi="Calibri" w:eastAsia="Calibri" w:cs="Calibri"/>
        <w:b/>
        <w:bCs/>
      </w:rPr>
    </w:tblStylePr>
    <w:tblStylePr w:type="lastCol">
      <w:rPr>
        <w:rFonts w:asciiTheme="majorHAnsi" w:eastAsiaTheme="majorEastAsia" w:hAnsiTheme="majorHAnsi" w:cstheme="majorBidi"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ascii="Calibri" w:hAnsi="Calibri" w:eastAsia="Calibri" w:cs="Calibri"/>
        <w:b/>
        <w:bCs/>
      </w:rPr>
    </w:tblStylePr>
    <w:tblStylePr w:type="lastCol">
      <w:rPr>
        <w:rFonts w:asciiTheme="majorHAnsi" w:eastAsiaTheme="majorEastAsia" w:hAnsiTheme="majorHAnsi" w:cstheme="majorBidi"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ascii="Calibri" w:hAnsi="Calibri" w:eastAsia="Calibri" w:cs="Calibri"/>
        <w:b/>
        <w:bCs/>
      </w:rPr>
    </w:tblStylePr>
    <w:tblStylePr w:type="lastCol">
      <w:rPr>
        <w:rFonts w:asciiTheme="majorHAnsi" w:eastAsiaTheme="majorEastAsia" w:hAnsiTheme="majorHAnsi" w:cstheme="majorBidi"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ascii="Calibri" w:hAnsi="Calibri" w:eastAsia="Calibri" w:cs="Calibri"/>
        <w:b/>
        <w:bCs/>
      </w:rPr>
    </w:tblStylePr>
    <w:tblStylePr w:type="lastCol">
      <w:rPr>
        <w:rFonts w:asciiTheme="majorHAnsi" w:eastAsiaTheme="majorEastAsia" w:hAnsiTheme="majorHAnsi" w:cstheme="majorBidi"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ascii="Calibri" w:hAnsi="Calibri" w:eastAsia="Calibri" w:cs="Calibri"/>
        <w:b/>
        <w:bCs/>
      </w:rPr>
    </w:tblStylePr>
    <w:tblStylePr w:type="lastCol">
      <w:rPr>
        <w:rFonts w:asciiTheme="majorHAnsi" w:eastAsiaTheme="majorEastAsia" w:hAnsiTheme="majorHAnsi" w:cstheme="majorBidi"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Calibri" w:hAnsi="Calibri" w:eastAsia="Calibri" w:cs="Calibri"/>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